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提醒函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color w:val="auto"/>
          <w:sz w:val="32"/>
          <w:szCs w:val="32"/>
          <w:shd w:val="clear" w:color="auto" w:fill="auto"/>
          <w:lang w:eastAsia="zh-CN"/>
        </w:rPr>
      </w:pPr>
      <w:r>
        <w:rPr>
          <w:rFonts w:hint="eastAsia" w:ascii="Times New Roman" w:hAnsi="Times New Roman" w:eastAsia="仿宋_GB2312"/>
          <w:color w:val="auto"/>
          <w:sz w:val="32"/>
          <w:szCs w:val="32"/>
          <w:shd w:val="clear" w:color="auto" w:fill="auto"/>
          <w:lang w:eastAsia="zh-CN"/>
        </w:rPr>
        <w:t>全市各定点医疗机构、定点零售药店：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cs="黑体"/>
          <w:b w:val="0"/>
          <w:bCs w:val="0"/>
          <w:color w:val="auto"/>
          <w:sz w:val="32"/>
          <w:szCs w:val="32"/>
          <w:shd w:val="clear" w:color="auto" w:fill="auto"/>
          <w:lang w:eastAsia="zh-CN"/>
        </w:rPr>
      </w:pPr>
      <w:r>
        <w:rPr>
          <w:rFonts w:hint="eastAsia" w:ascii="Times New Roman" w:hAnsi="Times New Roman" w:eastAsia="仿宋_GB2312"/>
          <w:color w:val="auto"/>
          <w:sz w:val="32"/>
          <w:szCs w:val="32"/>
          <w:shd w:val="clear" w:color="auto" w:fill="auto"/>
        </w:rPr>
        <w:t>根据</w:t>
      </w:r>
      <w:r>
        <w:rPr>
          <w:rFonts w:hint="eastAsia" w:ascii="Times New Roman" w:hAnsi="Times New Roman" w:eastAsia="仿宋_GB2312"/>
          <w:color w:val="auto"/>
          <w:sz w:val="32"/>
          <w:szCs w:val="32"/>
          <w:shd w:val="clear" w:color="auto" w:fill="auto"/>
          <w:lang w:eastAsia="zh-CN"/>
        </w:rPr>
        <w:t>上级医疗保障部门</w:t>
      </w:r>
      <w:r>
        <w:rPr>
          <w:rFonts w:hint="eastAsia" w:ascii="Times New Roman" w:hAnsi="Times New Roman" w:eastAsia="仿宋_GB2312"/>
          <w:color w:val="auto"/>
          <w:sz w:val="32"/>
          <w:szCs w:val="32"/>
          <w:shd w:val="clear" w:color="auto" w:fill="auto"/>
        </w:rPr>
        <w:t>部署安排，</w:t>
      </w:r>
      <w:r>
        <w:rPr>
          <w:rFonts w:hint="eastAsia" w:ascii="Times New Roman" w:hAnsi="Times New Roman" w:eastAsia="仿宋_GB2312"/>
          <w:color w:val="auto"/>
          <w:sz w:val="32"/>
          <w:szCs w:val="32"/>
          <w:shd w:val="clear" w:color="auto" w:fill="auto"/>
          <w:lang w:eastAsia="zh-CN"/>
        </w:rPr>
        <w:t>市局决定于</w:t>
      </w:r>
      <w:r>
        <w:rPr>
          <w:rFonts w:hint="eastAsia" w:ascii="Times New Roman" w:hAnsi="Times New Roman" w:eastAsia="仿宋_GB2312"/>
          <w:color w:val="auto"/>
          <w:sz w:val="32"/>
          <w:szCs w:val="32"/>
          <w:shd w:val="clear" w:color="auto" w:fill="auto"/>
        </w:rPr>
        <w:t>3</w:t>
      </w:r>
      <w:r>
        <w:rPr>
          <w:rFonts w:hint="eastAsia" w:ascii="Times New Roman" w:hAnsi="Times New Roman" w:eastAsia="仿宋_GB2312"/>
          <w:color w:val="auto"/>
          <w:sz w:val="32"/>
          <w:szCs w:val="32"/>
          <w:shd w:val="clear" w:color="auto" w:fill="auto"/>
          <w:lang w:eastAsia="zh-CN"/>
        </w:rPr>
        <w:t>月至</w:t>
      </w:r>
      <w:r>
        <w:rPr>
          <w:rFonts w:hint="eastAsia" w:ascii="Times New Roman" w:hAnsi="Times New Roman" w:eastAsia="仿宋_GB2312"/>
          <w:color w:val="auto"/>
          <w:sz w:val="32"/>
          <w:szCs w:val="32"/>
          <w:shd w:val="clear" w:color="auto" w:fill="auto"/>
        </w:rPr>
        <w:t>6月在全</w:t>
      </w:r>
      <w:r>
        <w:rPr>
          <w:rFonts w:hint="eastAsia" w:ascii="Times New Roman" w:hAnsi="Times New Roman" w:eastAsia="仿宋_GB2312"/>
          <w:color w:val="auto"/>
          <w:sz w:val="32"/>
          <w:szCs w:val="32"/>
          <w:shd w:val="clear" w:color="auto" w:fill="auto"/>
          <w:lang w:eastAsia="zh-CN"/>
        </w:rPr>
        <w:t>市</w:t>
      </w:r>
      <w:r>
        <w:rPr>
          <w:rFonts w:hint="eastAsia" w:ascii="Times New Roman" w:hAnsi="Times New Roman" w:eastAsia="仿宋_GB2312"/>
          <w:color w:val="auto"/>
          <w:sz w:val="32"/>
          <w:szCs w:val="32"/>
          <w:shd w:val="clear" w:color="auto" w:fill="auto"/>
        </w:rPr>
        <w:t>开展医保基金监管存量问题“清零行动”。为确保“清零行动”取得实效，</w:t>
      </w:r>
      <w:r>
        <w:rPr>
          <w:rFonts w:hint="eastAsia" w:ascii="Times New Roman" w:hAnsi="Times New Roman" w:eastAsia="仿宋_GB2312"/>
          <w:color w:val="auto"/>
          <w:sz w:val="32"/>
          <w:szCs w:val="32"/>
          <w:shd w:val="clear" w:color="auto" w:fill="auto"/>
          <w:lang w:eastAsia="zh-CN"/>
        </w:rPr>
        <w:t>保护参保人的合法权益，特将有关要求告知如下：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Times New Roman" w:eastAsia="仿宋_GB2312"/>
          <w:color w:val="auto"/>
          <w:sz w:val="32"/>
          <w:szCs w:val="32"/>
          <w:shd w:val="clear" w:color="auto" w:fill="auto"/>
          <w:lang w:val="en-US" w:eastAsia="zh-CN"/>
        </w:rPr>
      </w:pPr>
      <w:r>
        <w:rPr>
          <w:rFonts w:hint="eastAsia" w:ascii="Times New Roman" w:hAnsi="Times New Roman" w:eastAsia="仿宋_GB2312"/>
          <w:color w:val="auto"/>
          <w:sz w:val="32"/>
          <w:szCs w:val="32"/>
          <w:shd w:val="clear" w:color="auto" w:fill="auto"/>
          <w:lang w:eastAsia="zh-CN"/>
        </w:rPr>
        <w:t>一、大力学习、宣传和贯彻落实《医疗保障基金使用监督管理条例》，聚焦“假病人”“假病情”“假票据”问题，</w:t>
      </w:r>
      <w:r>
        <w:rPr>
          <w:rFonts w:hint="eastAsia" w:ascii="Times New Roman" w:hAnsi="Times New Roman" w:eastAsia="仿宋_GB2312" w:cs="仿宋_GB2312"/>
          <w:spacing w:val="0"/>
          <w:kern w:val="2"/>
          <w:sz w:val="32"/>
          <w:szCs w:val="32"/>
          <w:lang w:val="en-US" w:eastAsia="zh-CN" w:bidi="ar-SA"/>
        </w:rPr>
        <w:t>实现全市范围内定点医药机构“三假”案例动态“清零”，</w:t>
      </w:r>
      <w:r>
        <w:rPr>
          <w:rFonts w:hint="eastAsia" w:ascii="Times New Roman" w:hAnsi="Times New Roman" w:eastAsia="仿宋_GB2312"/>
          <w:color w:val="auto"/>
          <w:sz w:val="32"/>
          <w:szCs w:val="32"/>
          <w:shd w:val="clear" w:color="auto" w:fill="auto"/>
          <w:lang w:eastAsia="zh-CN"/>
        </w:rPr>
        <w:t>积极</w:t>
      </w:r>
      <w:r>
        <w:rPr>
          <w:rFonts w:hint="eastAsia" w:ascii="Times New Roman" w:hAnsi="Times New Roman" w:eastAsia="仿宋_GB2312"/>
          <w:color w:val="auto"/>
          <w:sz w:val="32"/>
          <w:szCs w:val="32"/>
          <w:shd w:val="clear" w:color="auto" w:fill="auto"/>
          <w:lang w:val="en-US" w:eastAsia="zh-CN"/>
        </w:rPr>
        <w:t>开展争创“无三假”示范城市。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auto"/>
          <w:sz w:val="32"/>
          <w:szCs w:val="32"/>
          <w:shd w:val="clear" w:color="auto" w:fill="auto"/>
        </w:rPr>
      </w:pPr>
      <w:r>
        <w:rPr>
          <w:rFonts w:hint="eastAsia" w:ascii="Times New Roman" w:hAnsi="Times New Roman" w:eastAsia="仿宋_GB2312"/>
          <w:color w:val="auto"/>
          <w:sz w:val="32"/>
          <w:szCs w:val="32"/>
          <w:shd w:val="clear" w:color="auto" w:fill="auto"/>
          <w:lang w:eastAsia="zh-CN"/>
        </w:rPr>
        <w:t>二、</w:t>
      </w:r>
      <w:r>
        <w:rPr>
          <w:rFonts w:hint="eastAsia" w:ascii="Times New Roman" w:hAnsi="Times New Roman" w:eastAsia="仿宋_GB2312"/>
          <w:color w:val="auto"/>
          <w:sz w:val="32"/>
          <w:szCs w:val="32"/>
          <w:shd w:val="clear" w:color="auto" w:fill="auto"/>
        </w:rPr>
        <w:t>进一步健全内部医保</w:t>
      </w:r>
      <w:r>
        <w:rPr>
          <w:rFonts w:hint="eastAsia" w:ascii="Times New Roman" w:hAnsi="Times New Roman" w:eastAsia="仿宋_GB2312"/>
          <w:color w:val="auto"/>
          <w:sz w:val="32"/>
          <w:szCs w:val="32"/>
          <w:shd w:val="clear" w:color="auto" w:fill="auto"/>
          <w:lang w:eastAsia="zh-CN"/>
        </w:rPr>
        <w:t>基金监管</w:t>
      </w:r>
      <w:r>
        <w:rPr>
          <w:rFonts w:hint="eastAsia" w:ascii="Times New Roman" w:hAnsi="Times New Roman" w:eastAsia="仿宋_GB2312"/>
          <w:color w:val="auto"/>
          <w:sz w:val="32"/>
          <w:szCs w:val="32"/>
          <w:shd w:val="clear" w:color="auto" w:fill="auto"/>
        </w:rPr>
        <w:t>制度，提升医保</w:t>
      </w:r>
      <w:r>
        <w:rPr>
          <w:rFonts w:hint="eastAsia" w:ascii="Times New Roman" w:hAnsi="Times New Roman" w:eastAsia="仿宋_GB2312"/>
          <w:color w:val="auto"/>
          <w:sz w:val="32"/>
          <w:szCs w:val="32"/>
          <w:shd w:val="clear" w:color="auto" w:fill="auto"/>
          <w:lang w:eastAsia="zh-CN"/>
        </w:rPr>
        <w:t>基金监管</w:t>
      </w:r>
      <w:r>
        <w:rPr>
          <w:rFonts w:hint="eastAsia" w:ascii="Times New Roman" w:hAnsi="Times New Roman" w:eastAsia="仿宋_GB2312"/>
          <w:color w:val="auto"/>
          <w:sz w:val="32"/>
          <w:szCs w:val="32"/>
          <w:shd w:val="clear" w:color="auto" w:fill="auto"/>
        </w:rPr>
        <w:t>水平和风险防控能力，切实维护医保基金安全。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auto"/>
          <w:sz w:val="32"/>
          <w:szCs w:val="32"/>
          <w:shd w:val="clear" w:color="auto" w:fill="auto"/>
        </w:rPr>
      </w:pPr>
      <w:r>
        <w:rPr>
          <w:rFonts w:hint="eastAsia" w:ascii="Times New Roman" w:hAnsi="Times New Roman" w:eastAsia="仿宋_GB2312"/>
          <w:color w:val="auto"/>
          <w:sz w:val="32"/>
          <w:szCs w:val="32"/>
          <w:shd w:val="clear" w:color="auto" w:fill="auto"/>
          <w:lang w:eastAsia="zh-CN"/>
        </w:rPr>
        <w:t>三、</w:t>
      </w:r>
      <w:r>
        <w:rPr>
          <w:rFonts w:hint="eastAsia" w:ascii="Times New Roman" w:hAnsi="Times New Roman" w:eastAsia="仿宋_GB2312"/>
          <w:color w:val="auto"/>
          <w:sz w:val="32"/>
          <w:szCs w:val="32"/>
          <w:shd w:val="clear" w:color="auto" w:fill="auto"/>
          <w:lang w:val="en-US" w:eastAsia="zh-CN"/>
        </w:rPr>
        <w:t>6月30日之前，对照上级下发的《</w:t>
      </w:r>
      <w:r>
        <w:rPr>
          <w:rFonts w:hint="eastAsia" w:ascii="Times New Roman" w:hAnsi="Times New Roman" w:eastAsia="仿宋_GB2312"/>
          <w:color w:val="auto"/>
          <w:sz w:val="32"/>
          <w:shd w:val="clear" w:color="auto" w:fill="auto"/>
          <w:lang w:val="en-US" w:eastAsia="zh-CN"/>
        </w:rPr>
        <w:t>江西省医疗保障基金监管典型问题清单</w:t>
      </w:r>
      <w:r>
        <w:rPr>
          <w:rFonts w:hint="eastAsia" w:ascii="Times New Roman" w:hAnsi="Times New Roman" w:eastAsia="仿宋_GB2312"/>
          <w:color w:val="auto"/>
          <w:sz w:val="32"/>
          <w:szCs w:val="32"/>
          <w:shd w:val="clear" w:color="auto" w:fill="auto"/>
          <w:lang w:val="en-US" w:eastAsia="zh-CN"/>
        </w:rPr>
        <w:t>》（</w:t>
      </w:r>
      <w:r>
        <w:rPr>
          <w:rFonts w:hint="eastAsia" w:ascii="Times New Roman" w:hAnsi="Times New Roman" w:eastAsia="仿宋_GB2312"/>
          <w:color w:val="auto"/>
          <w:sz w:val="32"/>
          <w:shd w:val="clear" w:color="auto" w:fill="auto"/>
          <w:lang w:val="en-US" w:eastAsia="zh-CN"/>
        </w:rPr>
        <w:t>见附件），切实</w:t>
      </w:r>
      <w:r>
        <w:rPr>
          <w:rFonts w:hint="eastAsia" w:ascii="Times New Roman" w:hAnsi="Times New Roman" w:eastAsia="仿宋_GB2312"/>
          <w:color w:val="auto"/>
          <w:sz w:val="32"/>
          <w:szCs w:val="32"/>
          <w:shd w:val="clear" w:color="auto" w:fill="auto"/>
          <w:lang w:eastAsia="zh-CN"/>
        </w:rPr>
        <w:t>做到“三到位”，一是</w:t>
      </w:r>
      <w:r>
        <w:rPr>
          <w:rFonts w:hint="eastAsia" w:ascii="Times New Roman" w:hAnsi="Times New Roman" w:eastAsia="仿宋_GB2312"/>
          <w:color w:val="auto"/>
          <w:sz w:val="32"/>
          <w:shd w:val="clear" w:color="auto" w:fill="auto"/>
          <w:lang w:val="en-US" w:eastAsia="zh-CN"/>
        </w:rPr>
        <w:t>照单自查到位，二是</w:t>
      </w:r>
      <w:r>
        <w:rPr>
          <w:rFonts w:hint="eastAsia" w:ascii="Times New Roman" w:hAnsi="Times New Roman" w:eastAsia="仿宋_GB2312"/>
          <w:color w:val="auto"/>
          <w:sz w:val="32"/>
          <w:szCs w:val="32"/>
          <w:shd w:val="clear" w:color="auto" w:fill="auto"/>
        </w:rPr>
        <w:t>违规基金</w:t>
      </w:r>
      <w:r>
        <w:rPr>
          <w:rFonts w:hint="eastAsia" w:ascii="Times New Roman" w:hAnsi="Times New Roman" w:eastAsia="仿宋_GB2312"/>
          <w:color w:val="auto"/>
          <w:sz w:val="32"/>
          <w:szCs w:val="32"/>
          <w:shd w:val="clear" w:color="auto" w:fill="auto"/>
          <w:lang w:eastAsia="zh-CN"/>
        </w:rPr>
        <w:t>上缴</w:t>
      </w:r>
      <w:r>
        <w:rPr>
          <w:rFonts w:hint="eastAsia" w:ascii="Times New Roman" w:hAnsi="Times New Roman" w:eastAsia="仿宋_GB2312"/>
          <w:color w:val="auto"/>
          <w:sz w:val="32"/>
          <w:szCs w:val="32"/>
          <w:shd w:val="clear" w:color="auto" w:fill="auto"/>
        </w:rPr>
        <w:t>到位</w:t>
      </w:r>
      <w:r>
        <w:rPr>
          <w:rFonts w:hint="eastAsia" w:ascii="Times New Roman" w:hAnsi="Times New Roman" w:eastAsia="仿宋_GB2312"/>
          <w:color w:val="auto"/>
          <w:sz w:val="32"/>
          <w:szCs w:val="32"/>
          <w:shd w:val="clear" w:color="auto" w:fill="auto"/>
          <w:lang w:eastAsia="zh-CN"/>
        </w:rPr>
        <w:t>，三是</w:t>
      </w:r>
      <w:r>
        <w:rPr>
          <w:rFonts w:hint="eastAsia" w:ascii="Times New Roman" w:hAnsi="Times New Roman" w:eastAsia="仿宋_GB2312"/>
          <w:color w:val="auto"/>
          <w:sz w:val="32"/>
          <w:szCs w:val="32"/>
          <w:shd w:val="clear" w:color="auto" w:fill="auto"/>
        </w:rPr>
        <w:t>查处问题整改到位。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Times New Roman" w:eastAsia="仿宋_GB2312"/>
          <w:color w:val="auto"/>
          <w:sz w:val="32"/>
          <w:szCs w:val="32"/>
          <w:shd w:val="clear" w:color="auto" w:fill="auto"/>
          <w:lang w:eastAsia="zh-CN"/>
        </w:rPr>
      </w:pPr>
      <w:r>
        <w:rPr>
          <w:rFonts w:hint="eastAsia" w:ascii="Times New Roman" w:hAnsi="Times New Roman" w:eastAsia="仿宋_GB2312"/>
          <w:color w:val="auto"/>
          <w:sz w:val="32"/>
          <w:szCs w:val="32"/>
          <w:shd w:val="clear" w:color="auto" w:fill="auto"/>
          <w:lang w:eastAsia="zh-CN"/>
        </w:rPr>
        <w:t>四、《医疗保障基金使用监督管理条例》实施后，一经发现重复收费，超标准收费，串换药品、医用耗材、诊疗项目和服务设施等存量问题，将依法从严从重处罚，公开曝光，并按规定追究相关单位和个人直接责任。</w:t>
      </w:r>
    </w:p>
    <w:p>
      <w:pPr>
        <w:pStyle w:val="2"/>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eastAsia" w:ascii="Times New Roman" w:hAnsi="Times New Roman" w:eastAsia="仿宋_GB2312"/>
          <w:color w:val="auto"/>
          <w:sz w:val="32"/>
          <w:shd w:val="clear" w:color="auto" w:fill="auto"/>
          <w:lang w:val="en-US" w:eastAsia="zh-CN"/>
        </w:rPr>
      </w:pPr>
      <w:r>
        <w:rPr>
          <w:rFonts w:hint="eastAsia" w:ascii="Times New Roman" w:hAnsi="Times New Roman" w:eastAsia="仿宋_GB2312"/>
          <w:color w:val="auto"/>
          <w:sz w:val="32"/>
          <w:shd w:val="clear" w:color="auto" w:fill="auto"/>
          <w:lang w:val="en-US" w:eastAsia="zh-CN"/>
        </w:rPr>
        <w:t>附件：1.江西省医疗保障基金监管典型问题清单（第一版）</w:t>
      </w:r>
    </w:p>
    <w:p>
      <w:pPr>
        <w:pStyle w:val="2"/>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Times New Roman" w:hAnsi="Times New Roman" w:eastAsia="仿宋_GB2312"/>
          <w:color w:val="auto"/>
          <w:sz w:val="32"/>
          <w:shd w:val="clear" w:color="auto" w:fill="auto"/>
          <w:lang w:val="en-US" w:eastAsia="zh-CN"/>
        </w:rPr>
      </w:pPr>
      <w:r>
        <w:rPr>
          <w:rFonts w:hint="eastAsia" w:ascii="Times New Roman" w:hAnsi="Times New Roman" w:eastAsia="仿宋_GB2312"/>
          <w:color w:val="auto"/>
          <w:sz w:val="32"/>
          <w:shd w:val="clear" w:color="auto" w:fill="auto"/>
          <w:lang w:val="en-US" w:eastAsia="zh-CN"/>
        </w:rPr>
        <w:t>（定点医疗机构）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6" w:leftChars="760" w:firstLine="0" w:firstLineChars="0"/>
        <w:textAlignment w:val="auto"/>
        <w:rPr>
          <w:rFonts w:hint="eastAsia" w:ascii="Times New Roman" w:hAnsi="Times New Roman" w:eastAsia="仿宋_GB2312"/>
          <w:color w:val="auto"/>
          <w:sz w:val="32"/>
          <w:shd w:val="clear" w:color="auto" w:fill="auto"/>
          <w:lang w:val="en-US" w:eastAsia="zh-CN"/>
        </w:rPr>
      </w:pPr>
      <w:r>
        <w:rPr>
          <w:rFonts w:hint="eastAsia" w:ascii="Times New Roman" w:hAnsi="Times New Roman" w:eastAsia="仿宋_GB2312"/>
          <w:color w:val="auto"/>
          <w:sz w:val="32"/>
          <w:shd w:val="clear" w:color="auto" w:fill="auto"/>
          <w:lang w:val="en-US" w:eastAsia="zh-CN"/>
        </w:rPr>
        <w:t xml:space="preserve">2.江西省医疗保障基金监管典型问题清单（第一版）（定点零售药店）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olor w:val="auto"/>
          <w:sz w:val="32"/>
          <w:shd w:val="clear" w:color="auto" w:fill="auto"/>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olor w:val="auto"/>
          <w:sz w:val="32"/>
          <w:shd w:val="clear" w:color="auto" w:fill="auto"/>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olor w:val="auto"/>
          <w:sz w:val="32"/>
          <w:shd w:val="clear" w:color="auto" w:fill="auto"/>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olor w:val="auto"/>
          <w:sz w:val="32"/>
          <w:shd w:val="clear" w:color="auto" w:fill="auto"/>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auto"/>
          <w:sz w:val="32"/>
          <w:shd w:val="clear" w:color="auto" w:fill="auto"/>
          <w:lang w:eastAsia="zh-CN"/>
        </w:rPr>
      </w:pPr>
      <w:r>
        <w:rPr>
          <w:rFonts w:hint="eastAsia" w:ascii="Times New Roman" w:hAnsi="Times New Roman" w:eastAsia="仿宋_GB2312"/>
          <w:color w:val="auto"/>
          <w:sz w:val="32"/>
          <w:shd w:val="clear" w:color="auto" w:fill="auto"/>
          <w:lang w:val="en-US" w:eastAsia="zh-CN"/>
        </w:rPr>
        <w:t xml:space="preserve">                      </w:t>
      </w:r>
      <w:r>
        <w:rPr>
          <w:rFonts w:hint="eastAsia" w:ascii="Times New Roman" w:hAnsi="Times New Roman" w:eastAsia="仿宋_GB2312"/>
          <w:color w:val="auto"/>
          <w:sz w:val="32"/>
          <w:shd w:val="clear" w:color="auto" w:fill="auto"/>
          <w:lang w:eastAsia="zh-CN"/>
        </w:rPr>
        <w:t>赣州市医疗保障局办公室</w:t>
      </w:r>
    </w:p>
    <w:p>
      <w:pPr>
        <w:pStyle w:val="2"/>
        <w:keepNext w:val="0"/>
        <w:keepLines w:val="0"/>
        <w:pageBreakBefore w:val="0"/>
        <w:widowControl w:val="0"/>
        <w:kinsoku/>
        <w:wordWrap/>
        <w:overflowPunct/>
        <w:topLinePunct w:val="0"/>
        <w:autoSpaceDE/>
        <w:autoSpaceDN/>
        <w:bidi w:val="0"/>
        <w:adjustRightInd/>
        <w:snapToGrid/>
        <w:spacing w:line="560" w:lineRule="exact"/>
        <w:ind w:firstLine="960" w:firstLineChars="300"/>
        <w:jc w:val="center"/>
        <w:textAlignment w:val="auto"/>
        <w:rPr>
          <w:rFonts w:hint="default" w:ascii="Times New Roman" w:hAnsi="Times New Roman" w:eastAsia="仿宋_GB2312"/>
          <w:color w:val="auto"/>
          <w:sz w:val="32"/>
          <w:shd w:val="clear" w:color="auto" w:fill="auto"/>
          <w:lang w:val="en-US" w:eastAsia="zh-CN"/>
        </w:rPr>
      </w:pPr>
      <w:r>
        <w:rPr>
          <w:rFonts w:hint="eastAsia" w:ascii="Times New Roman" w:hAnsi="Times New Roman" w:eastAsia="仿宋_GB2312"/>
          <w:color w:val="auto"/>
          <w:sz w:val="32"/>
          <w:shd w:val="clear" w:color="auto" w:fill="auto"/>
          <w:lang w:val="en-US" w:eastAsia="zh-CN"/>
        </w:rPr>
        <w:t xml:space="preserve">                    2021年3月26日</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tbl>
      <w:tblPr>
        <w:tblStyle w:val="7"/>
        <w:tblW w:w="9133" w:type="dxa"/>
        <w:tblInd w:w="-67" w:type="dxa"/>
        <w:shd w:val="clear" w:color="auto" w:fill="auto"/>
        <w:tblLayout w:type="fixed"/>
        <w:tblCellMar>
          <w:top w:w="0" w:type="dxa"/>
          <w:left w:w="108" w:type="dxa"/>
          <w:bottom w:w="0" w:type="dxa"/>
          <w:right w:w="108" w:type="dxa"/>
        </w:tblCellMar>
      </w:tblPr>
      <w:tblGrid>
        <w:gridCol w:w="850"/>
        <w:gridCol w:w="2933"/>
        <w:gridCol w:w="5350"/>
      </w:tblGrid>
      <w:tr>
        <w:tblPrEx>
          <w:shd w:val="clear" w:color="auto" w:fill="auto"/>
          <w:tblLayout w:type="fixed"/>
          <w:tblCellMar>
            <w:top w:w="0" w:type="dxa"/>
            <w:left w:w="108" w:type="dxa"/>
            <w:bottom w:w="0" w:type="dxa"/>
            <w:right w:w="108" w:type="dxa"/>
          </w:tblCellMar>
        </w:tblPrEx>
        <w:trPr>
          <w:trHeight w:val="440" w:hRule="atLeast"/>
        </w:trPr>
        <w:tc>
          <w:tcPr>
            <w:tcW w:w="3783"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rPr>
                <w:rFonts w:hint="eastAsia"/>
              </w:rPr>
            </w:pPr>
          </w:p>
        </w:tc>
        <w:tc>
          <w:tcPr>
            <w:tcW w:w="5350"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left"/>
              <w:outlineLvl w:val="9"/>
              <w:rPr>
                <w:rFonts w:hint="eastAsia" w:ascii="仿宋_GB2312" w:hAnsi="仿宋_GB2312" w:eastAsia="仿宋_GB2312" w:cs="仿宋_GB2312"/>
                <w:i w:val="0"/>
                <w:iCs w:val="0"/>
                <w:color w:val="000000"/>
                <w:sz w:val="28"/>
                <w:szCs w:val="28"/>
                <w:u w:val="none"/>
              </w:rPr>
            </w:pPr>
          </w:p>
        </w:tc>
      </w:tr>
      <w:tr>
        <w:tblPrEx>
          <w:tblLayout w:type="fixed"/>
          <w:tblCellMar>
            <w:top w:w="0" w:type="dxa"/>
            <w:left w:w="108" w:type="dxa"/>
            <w:bottom w:w="0" w:type="dxa"/>
            <w:right w:w="108" w:type="dxa"/>
          </w:tblCellMar>
        </w:tblPrEx>
        <w:trPr>
          <w:trHeight w:val="1140" w:hRule="atLeast"/>
        </w:trPr>
        <w:tc>
          <w:tcPr>
            <w:tcW w:w="9133"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江西省医疗保障基金监管典型问题清单</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（第一版）</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楷体_GB2312" w:hAnsi="楷体_GB2312" w:eastAsia="楷体_GB2312" w:cs="楷体_GB2312"/>
                <w:b/>
                <w:bCs/>
                <w:i w:val="0"/>
                <w:iCs w:val="0"/>
                <w:color w:val="000000"/>
                <w:kern w:val="0"/>
                <w:sz w:val="28"/>
                <w:szCs w:val="28"/>
                <w:u w:val="none"/>
                <w:lang w:val="en-US" w:eastAsia="zh-CN" w:bidi="ar"/>
              </w:rPr>
              <w:t>（定点医疗机构）</w:t>
            </w:r>
          </w:p>
        </w:tc>
      </w:tr>
      <w:tr>
        <w:tblPrEx>
          <w:tblLayout w:type="fixed"/>
          <w:tblCellMar>
            <w:top w:w="0" w:type="dxa"/>
            <w:left w:w="108" w:type="dxa"/>
            <w:bottom w:w="0" w:type="dxa"/>
            <w:right w:w="108" w:type="dxa"/>
          </w:tblCellMar>
        </w:tblPrEx>
        <w:trPr>
          <w:trHeight w:val="5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分解住院</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同一患者在无特殊情况或病例未写明原因情况下两次住院时间间隔1-2天或当天进二次院</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挂床住院</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无特殊情况在院实际住院病人少于系统中病人数</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挂床住院</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截瘫病人开药回家治疗，未实际住院</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个别患者存在与住院疾病无关检查，或短期内重复检查。如颈椎病行腹部、泌尿系、妇科等彩超检查</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入院诊断分别为半月板损伤、糖尿病、颈椎病，在无指征情况下均作了血清肌钙蛋白Ⅰ测定</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部分病人无指征开具淀粉酶测定项目</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同一次住院在无特殊情况下进行两次糖化血红蛋白测定，且两次测量时间间隔未超过30天</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无指征过度检查收取眼底照相费问题</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无指征检验葡萄糖测定（干化学法），并且无检验查化验单及数据</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滥用中药硬膏热贴敷疗法</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阴道炎、宫颈糜烂患者常规使用利普刀、微波治疗，且滥用抗生素（同时使用四联抗生素）</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未发生褥疮收取褥疮护理费</w:t>
            </w:r>
          </w:p>
        </w:tc>
      </w:tr>
      <w:tr>
        <w:tblPrEx>
          <w:tblLayout w:type="fixed"/>
          <w:tblCellMar>
            <w:top w:w="0" w:type="dxa"/>
            <w:left w:w="108" w:type="dxa"/>
            <w:bottom w:w="0" w:type="dxa"/>
            <w:right w:w="108" w:type="dxa"/>
          </w:tblCellMar>
        </w:tblPrEx>
        <w:trPr>
          <w:trHeight w:val="56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无适应症使用高价药品奥硝唑氯化钠注射液替换氯化钠进行使用，该药适应条件为（1）术前术后预防用药（2）治疗厌氧菌引起的感染（3）治疗严重阿米巴病。</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无指征使用阿莫西林口服液体剂和颗粒剂，阿莫西林口服液体剂和颗粒剂限儿童以及吞咽困难患者用</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无指征使用奥美拉唑钠，奥美拉唑钠限有说明书标明的疾病诊断且有禁食医嘱或吞咽困难的患者</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患者在无病情变化或特殊情况下以高血压、头晕、腰腿痛等未达到住院标准的疾病住院</w:t>
            </w:r>
          </w:p>
        </w:tc>
      </w:tr>
      <w:tr>
        <w:tblPrEx>
          <w:tblLayout w:type="fixed"/>
          <w:tblCellMar>
            <w:top w:w="0" w:type="dxa"/>
            <w:left w:w="108" w:type="dxa"/>
            <w:bottom w:w="0" w:type="dxa"/>
            <w:right w:w="108" w:type="dxa"/>
          </w:tblCellMar>
        </w:tblPrEx>
        <w:trPr>
          <w:trHeight w:val="14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过度诊疗、检查</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透析病人，每次透析均使用重组人促红素（CHO细胞），重组人促红素（CHO细胞）用途用于纠正贫血，病人血常规检查次数均为半年一次，未提供贫血及治疗后贫血改善的佐证</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超量开药</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注射用香菇多糖用法用量规定一次1mg，现场检查部分患者加量使用无相关医嘱说明及病程记录依据。</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单胎顺产接生同时收取产程观察、阴道或肛门检查，胎心监测及脐带处理，会阴裂伤修补及侧切</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运动疗法与偏瘫、脑瘫或截瘫肢体综合训练同时收费。运动疗法与偏瘫、脑瘫或截瘫肢体综合训练同时使用时只能支付其中1项。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心电监测与无创血压监测同时收取费用</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全身麻醉与气管插管术重复收费</w:t>
            </w:r>
          </w:p>
        </w:tc>
      </w:tr>
      <w:tr>
        <w:tblPrEx>
          <w:tblLayout w:type="fixed"/>
          <w:tblCellMar>
            <w:top w:w="0" w:type="dxa"/>
            <w:left w:w="108" w:type="dxa"/>
            <w:bottom w:w="0" w:type="dxa"/>
            <w:right w:w="108" w:type="dxa"/>
          </w:tblCellMar>
        </w:tblPrEx>
        <w:trPr>
          <w:trHeight w:val="50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“中医辩证论治”与“诊查费”同时收费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中医康复电针与普通针刺同时收费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运动疗法每日支付超过2次</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在已收取重症监护、特级护理、气管切开护理的情况下加收吸痰费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消化道内镜检查术收取活检术费用</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康复项目评定，如康复综合评定、手功能评定，两次评定间隔时间小于规定时间（见人社部发2016（23）号文件）</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B超常规检查按脏器部位数量不合理收费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尿液分析和尿常规同时收取费用</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静脉采血和末梢采血同时收取费用</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收取骨折夹板外固定术同时收取整复固定术费用</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重症监护患者同时收取口腔护理费用</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新生儿抚触与新生儿特殊护理同时收费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腹式全子宫切除术同时未按规定收取肠粘连松解术、和输卵管切除术费用</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日常生活能力评定与日常生活能力评定量表同时收费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特级护理同时收取吸痰护理费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压疮褥疮护理重复收费问题</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血细胞分析收费同时收取Hb和HCT</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心电监测同时收取动态血压监测费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一般诊疗费与注射费同时收取</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特殊疾病护理与等级护理重复收费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中医康复电针与普通针刺同时收费。相同穴位的针刺不能同时收取电针及普通针刺的费用</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违规重复收取一次性材料的情况，如注射器等。</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重复收费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不存在精神类相关疾病收取住院诊查费同时收取行为观察与治疗费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一级医院收费项目未按照一级医院限价收费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二级医院收费项目未按照二级医院限价收费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患者住院做多个部位的彩超、CT等与诊断无关的检查</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生化全套项目存在套餐式收费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不论性别、年龄、病情、是否有其他基础病等差异，进行无差异、模板式、套餐式治疗</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各类限制性用药未按限制性条件使用（超限二级医疗机构用药、限门诊、儿童、工伤、附方、限临床指征等）</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单味中药不予支付进入报销</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违规使用限医院等级药品</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医疗耗材疝气修补片存在住院报销金额超过特殊材料目录内限价（单次住院不超过一千元）</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无院内会诊记录收取院内会诊费用</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入院卫生宣教串换成健康教育（自费），每天收取一次（健康教育包涵在一二三级护理、特级护理内）</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精神科病人收取精神病护理同时收取一二三级护理</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多收取精神科监护费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彩色多普勒超声同时做多个部位时，第二个部位起没有减半收费。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彩色多普勒超声+图文报告同时按医保项目收费（图文报告未按自费项目收费）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日常生活动作训练与作业疗法同时收费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阴道灌洗上药分解成冲洗和上药2个项目同时收费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支原体培养及药敏分解成支原体药敏和支原体培养2个同时项目</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腹腔镜手术（如：经腹腔镜盆腔淋巴清扫术）同时收取腹腔镜检查或腹腔镜加收费用</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尿液分析与尿沉渣镜检捆绑套餐化验</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血细胞分析与异常红细胞、异常白细胞、异常血小板捆绑套餐化验</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超标准收费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普通针刺串换成微针针刺</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分解项目收费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骨科内固定整套耗材分解收费</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分解项目收费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医院将一套精密过滤输液管/精密输液过滤器，分解为两个项目进行收费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分解项目收费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血细胞分析子项目分解收费</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分解项目收费</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尿常规子项目分解收费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全身擦浴（自费）比对串换为特级护理</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气垫床（自费）比对串换为床位费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颅脑手术薄膜/医用手术薄膜比对串换为颅骨内固定材料</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阿胶自费对应可报单方</w:t>
            </w:r>
          </w:p>
        </w:tc>
      </w:tr>
      <w:tr>
        <w:tblPrEx>
          <w:tblLayout w:type="fixed"/>
          <w:tblCellMar>
            <w:top w:w="0" w:type="dxa"/>
            <w:left w:w="108" w:type="dxa"/>
            <w:bottom w:w="0" w:type="dxa"/>
            <w:right w:w="108" w:type="dxa"/>
          </w:tblCellMar>
        </w:tblPrEx>
        <w:trPr>
          <w:trHeight w:val="55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外用药膏串换特大换药。</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使用微量泵加收、一般专项护理（其他）为目录外医保项目，对应为医保目录内项目。</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内镜色素检查、使用等离子、创面密封负压引流术串换成大换药</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中药特殊调配非医保对成医保类</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微量泵入非医保对成医保类</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将自费项目人乳头瘤病毒基因分型检测按医保乙类报销</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不可收费项目一次性中单、一次性产包等串换成医保甲类报销</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大便盆对应成便袋（甲类）、一次性使用配药注射器（乙类）</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一次性使用注射器、棉签非医保串换医保类报销</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西药袋、妇洁阴洗液、头孢孟多酯钠、等自费项目串换成目录内可报项目</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肺宁颗粒对应医保可报销</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青光眼引流器串换成青光眼引流阀（乙类报销）</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玻璃酸钠滴眼液（海露）串换成丙泊酚（麻醉药品），医保编码对应错误</w:t>
            </w:r>
          </w:p>
        </w:tc>
      </w:tr>
      <w:tr>
        <w:tblPrEx>
          <w:tblLayout w:type="fixed"/>
          <w:tblCellMar>
            <w:top w:w="0" w:type="dxa"/>
            <w:left w:w="108" w:type="dxa"/>
            <w:bottom w:w="0" w:type="dxa"/>
            <w:right w:w="108" w:type="dxa"/>
          </w:tblCellMar>
        </w:tblPrEx>
        <w:trPr>
          <w:trHeight w:val="60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自费药物“注射用五水头孢唑林钠”匹配为可报销药物“头孢唑林”</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西药注射用核黄素磷酸钠（针剂）匹配为维生素B2（片剂及口服液）</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乙酰半胱氨酸泡腾片串换目录内项目进行报销</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一次性使用无菌婴儿护脐、三磷酸腺苷二钠注射液串换成目录项目进行报销</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目录外项目葡萄糖酸钙锌口服液匹配为葡萄糖酸钙颗粒剂，目录外项目右旋糖酐铁口服溶液串换成右旋糖酐铁薄膜衣片</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目录外项目敷料贴匹配为目录内项目伏立康唑分散片（乙类），莪术油注射剂型串换目录内项目</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将空调费等自费项目串换成电针项目</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肝功能项目、超敏C反应蛋白测定、C—反应蛋白测定(CRP)、尿液分析、肌酐测定、一次性使用精密输液器串换问题</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皮试（皮试仪）比对为变应原皮内试验</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输液加温器比对为替加氟</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芩翘口服液串换为罗补甫克比日丸</w:t>
            </w:r>
          </w:p>
        </w:tc>
      </w:tr>
      <w:tr>
        <w:tblPrEx>
          <w:tblLayout w:type="fixed"/>
          <w:tblCellMar>
            <w:top w:w="0" w:type="dxa"/>
            <w:left w:w="108" w:type="dxa"/>
            <w:bottom w:w="0" w:type="dxa"/>
            <w:right w:w="108" w:type="dxa"/>
          </w:tblCellMar>
        </w:tblPrEx>
        <w:trPr>
          <w:trHeight w:val="95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中草药对照天王补心丸</w:t>
            </w:r>
          </w:p>
        </w:tc>
      </w:tr>
      <w:tr>
        <w:tblPrEx>
          <w:tblLayout w:type="fixed"/>
          <w:tblCellMar>
            <w:top w:w="0" w:type="dxa"/>
            <w:left w:w="108" w:type="dxa"/>
            <w:bottom w:w="0" w:type="dxa"/>
            <w:right w:w="108" w:type="dxa"/>
          </w:tblCellMar>
        </w:tblPrEx>
        <w:trPr>
          <w:trHeight w:val="61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82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通脉颗粒串换协日嘎四味汤胶囊</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复方氨酚烷胺胶南串换脑心安胶囊</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皮试串换为肌肉注射收费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合胞病毒七项检查有2项自费串换成医保内项目收费问题</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静脉注射材料费串换医保目录内医保材料费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一次性气管插管包串换为气管插管（支气管插管）收费问题</w:t>
            </w:r>
          </w:p>
        </w:tc>
      </w:tr>
      <w:tr>
        <w:tblPrEx>
          <w:tblLayout w:type="fixed"/>
          <w:tblCellMar>
            <w:top w:w="0" w:type="dxa"/>
            <w:left w:w="108" w:type="dxa"/>
            <w:bottom w:w="0" w:type="dxa"/>
            <w:right w:w="108" w:type="dxa"/>
          </w:tblCellMar>
        </w:tblPrEx>
        <w:trPr>
          <w:trHeight w:val="95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面罩(带头套个人专用）串换为麻醉面罩收费问题</w:t>
            </w:r>
          </w:p>
        </w:tc>
      </w:tr>
      <w:tr>
        <w:tblPrEx>
          <w:tblLayout w:type="fixed"/>
          <w:tblCellMar>
            <w:top w:w="0" w:type="dxa"/>
            <w:left w:w="108" w:type="dxa"/>
            <w:bottom w:w="0" w:type="dxa"/>
            <w:right w:w="108" w:type="dxa"/>
          </w:tblCellMar>
        </w:tblPrEx>
        <w:trPr>
          <w:trHeight w:val="88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一次性活检钳串换为活检针问题</w:t>
            </w:r>
          </w:p>
        </w:tc>
      </w:tr>
      <w:tr>
        <w:tblPrEx>
          <w:tblLayout w:type="fixed"/>
          <w:tblCellMar>
            <w:top w:w="0" w:type="dxa"/>
            <w:left w:w="108" w:type="dxa"/>
            <w:bottom w:w="0" w:type="dxa"/>
            <w:right w:w="108" w:type="dxa"/>
          </w:tblCellMar>
        </w:tblPrEx>
        <w:trPr>
          <w:trHeight w:val="92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自费项目纳入报销，抗中心粒胞浆抗体(ANCN)费用问题</w:t>
            </w:r>
          </w:p>
        </w:tc>
      </w:tr>
      <w:tr>
        <w:tblPrEx>
          <w:tblLayout w:type="fixed"/>
          <w:tblCellMar>
            <w:top w:w="0" w:type="dxa"/>
            <w:left w:w="108" w:type="dxa"/>
            <w:bottom w:w="0" w:type="dxa"/>
            <w:right w:w="108" w:type="dxa"/>
          </w:tblCellMar>
        </w:tblPrEx>
        <w:trPr>
          <w:trHeight w:val="99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自费项目纳入报销，抗甲状腺过氧化物酶抗体测定(TPO-Ab)费用问题</w:t>
            </w:r>
          </w:p>
        </w:tc>
      </w:tr>
      <w:tr>
        <w:tblPrEx>
          <w:tblLayout w:type="fixed"/>
          <w:tblCellMar>
            <w:top w:w="0" w:type="dxa"/>
            <w:left w:w="108" w:type="dxa"/>
            <w:bottom w:w="0" w:type="dxa"/>
            <w:right w:w="108" w:type="dxa"/>
          </w:tblCellMar>
        </w:tblPrEx>
        <w:trPr>
          <w:trHeight w:val="135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自费串换为目录内收费，抗核提取物抗体测定(抗ENA抗体)乙类包含收取自费项目及乙类收取自费项目问题</w:t>
            </w:r>
          </w:p>
        </w:tc>
      </w:tr>
      <w:tr>
        <w:tblPrEx>
          <w:tblLayout w:type="fixed"/>
          <w:tblCellMar>
            <w:top w:w="0" w:type="dxa"/>
            <w:left w:w="108" w:type="dxa"/>
            <w:bottom w:w="0" w:type="dxa"/>
            <w:right w:w="108" w:type="dxa"/>
          </w:tblCellMar>
        </w:tblPrEx>
        <w:trPr>
          <w:trHeight w:val="130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自费串换为目录内收费，小生化全套（17项）乙类包含收取自费项目超氧化物岐化酶（SOD)测定费问题。</w:t>
            </w:r>
          </w:p>
        </w:tc>
      </w:tr>
      <w:tr>
        <w:tblPrEx>
          <w:tblLayout w:type="fixed"/>
          <w:tblCellMar>
            <w:top w:w="0" w:type="dxa"/>
            <w:left w:w="108" w:type="dxa"/>
            <w:bottom w:w="0" w:type="dxa"/>
            <w:right w:w="108" w:type="dxa"/>
          </w:tblCellMar>
        </w:tblPrEx>
        <w:trPr>
          <w:trHeight w:val="55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107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自费串换为目录内收费，大生化全套（45项/46项）乙类包含收取自费项目超氧化物岐化酶（SOD)测定费问题</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一次性等离子刀头串换成电切电极</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超敏Ｃ反应蛋白用散射比浊法高套金标法</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普通吸氧套高频吸氧收费</w:t>
            </w:r>
          </w:p>
        </w:tc>
      </w:tr>
      <w:tr>
        <w:tblPrEx>
          <w:tblLayout w:type="fixed"/>
          <w:tblCellMar>
            <w:top w:w="0" w:type="dxa"/>
            <w:left w:w="108" w:type="dxa"/>
            <w:bottom w:w="0" w:type="dxa"/>
            <w:right w:w="108" w:type="dxa"/>
          </w:tblCellMar>
        </w:tblPrEx>
        <w:trPr>
          <w:trHeight w:val="175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梅毒螺旋体特异抗体测定(时间分辨荧光分析法加收),经核实医院实际检测方法是磁微粒化学发光法，非时间分辨荧光法，不应加收此费用。</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椎体成形、椎体成形成套手术器械等项目比对为人工椎间盘及人工椎体</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血清葡萄糖测定匹配成电脑血糖监测收费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普通的血压测量串换成动态血压监测</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血细胞分析高套收费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尿微量蛋白测定高套收费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B超常规检查高套收费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糖化血红蛋白检验高套收费</w:t>
            </w:r>
          </w:p>
        </w:tc>
      </w:tr>
      <w:tr>
        <w:tblPrEx>
          <w:tblLayout w:type="fixed"/>
          <w:tblCellMar>
            <w:top w:w="0" w:type="dxa"/>
            <w:left w:w="108" w:type="dxa"/>
            <w:bottom w:w="0" w:type="dxa"/>
            <w:right w:w="108" w:type="dxa"/>
          </w:tblCellMar>
        </w:tblPrEx>
        <w:trPr>
          <w:trHeight w:val="6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电解质检验高套收费</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关节滑膜切除术中，中关节套收大关节</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高套收取椎管内麻醉费问题</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套餐式收取Rh血型鉴定费问题</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小换药按照特大换药的标准收费</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红细胞沉降率测定(ESR)、C—反应蛋白测定(CRP)、糖化血红蛋白测定、血细胞分析等项目串换不同项目进行收费</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石膏固定术中，中关节套收大关节</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高套收取全身麻醉费问题</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高套特殊疾病护理收费问题</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心电监测高套遥测心电监护收费问题</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高套静脉输液收费问题</w:t>
            </w:r>
          </w:p>
        </w:tc>
      </w:tr>
      <w:tr>
        <w:tblPrEx>
          <w:tblLayout w:type="fixed"/>
          <w:tblCellMar>
            <w:top w:w="0" w:type="dxa"/>
            <w:left w:w="108" w:type="dxa"/>
            <w:bottom w:w="0" w:type="dxa"/>
            <w:right w:w="108" w:type="dxa"/>
          </w:tblCellMar>
        </w:tblPrEx>
        <w:trPr>
          <w:trHeight w:val="61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静脉穿刺置管术高套收费问题</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换药用的敷料串换成生物敷料</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HPV基因分型串换成核酸检测</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“理疗电极片”串换成“电极”</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“椎体扩张球囊导管”及“球囊扩张压力管”串换成“球囊扩张导管”</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泌尿系手术用自费的撕开鞘串换为血管介入的撕开鞘、泌尿系手术斑马导丝串换为丝状探条</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142</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串换药品、医用耗材、诊疗项目和服务设施（原低价项目高套）</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2020年3月20日起罂粟碱氯化钠是自费药品，不纳入医保支付。</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143</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诱导、协助他人冒名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就医</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医保卡转借他人使用</w:t>
            </w:r>
          </w:p>
        </w:tc>
      </w:tr>
      <w:tr>
        <w:tblPrEx>
          <w:tblLayout w:type="fixed"/>
          <w:tblCellMar>
            <w:top w:w="0" w:type="dxa"/>
            <w:left w:w="108" w:type="dxa"/>
            <w:bottom w:w="0" w:type="dxa"/>
            <w:right w:w="108" w:type="dxa"/>
          </w:tblCellMar>
        </w:tblPrEx>
        <w:trPr>
          <w:trHeight w:val="11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144</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诱导、协助他人冒名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就医</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使用不符合年龄段项目，存在冒名就医可能。比如：成年人使用小儿对乙酰氨基酚、小儿复方氨基酸(18AA-Ⅰ)及小儿复方磺胺甲噁唑等小儿药品。</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145</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诱导、协助他人冒名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就医</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男性患者收取缩宫素注射液、宫口探查费用；</w:t>
            </w:r>
          </w:p>
        </w:tc>
      </w:tr>
      <w:tr>
        <w:tblPrEx>
          <w:tblLayout w:type="fixed"/>
          <w:tblCellMar>
            <w:top w:w="0" w:type="dxa"/>
            <w:left w:w="108" w:type="dxa"/>
            <w:bottom w:w="0" w:type="dxa"/>
            <w:right w:w="108" w:type="dxa"/>
          </w:tblCellMar>
        </w:tblPrEx>
        <w:trPr>
          <w:trHeight w:val="63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违规行为</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146</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诱导、协助他人冒名就医</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拉当地有医保和农保的妇女到医院检查，均为健康人。1个床位挂10个病人，在住院期间管吃管住，免费治疗。</w:t>
            </w:r>
          </w:p>
        </w:tc>
      </w:tr>
      <w:tr>
        <w:tblPrEx>
          <w:tblLayout w:type="fixed"/>
          <w:tblCellMar>
            <w:top w:w="0" w:type="dxa"/>
            <w:left w:w="108" w:type="dxa"/>
            <w:bottom w:w="0" w:type="dxa"/>
            <w:right w:w="108" w:type="dxa"/>
          </w:tblCellMar>
        </w:tblPrEx>
        <w:trPr>
          <w:trHeight w:val="57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147</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内控制度不健全</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模板式填写评估表、监护记录单、护理记录单，护理单记录不充分、不完善。</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148</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内控制度不健全</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财务管理不规范，不符合国家要求，发现部分发票发票抬头不一致，存在新老社会信用代码串用行为。</w:t>
            </w:r>
          </w:p>
        </w:tc>
      </w:tr>
      <w:tr>
        <w:tblPrEx>
          <w:tblLayout w:type="fixed"/>
          <w:tblCellMar>
            <w:top w:w="0" w:type="dxa"/>
            <w:left w:w="108" w:type="dxa"/>
            <w:bottom w:w="0" w:type="dxa"/>
            <w:right w:w="108" w:type="dxa"/>
          </w:tblCellMar>
        </w:tblPrEx>
        <w:trPr>
          <w:trHeight w:val="3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149</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内控制度不健全</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拼药后产生多余药品的问题处理</w:t>
            </w:r>
          </w:p>
        </w:tc>
      </w:tr>
      <w:tr>
        <w:tblPrEx>
          <w:tblLayout w:type="fixed"/>
          <w:tblCellMar>
            <w:top w:w="0" w:type="dxa"/>
            <w:left w:w="108" w:type="dxa"/>
            <w:bottom w:w="0" w:type="dxa"/>
            <w:right w:w="108" w:type="dxa"/>
          </w:tblCellMar>
        </w:tblPrEx>
        <w:trPr>
          <w:trHeight w:val="85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150</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内控制度不健全</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财务内控存在缺陷，财务部门没有专人核算药品、耗材的收、发、结存，不能有效发挥财务部门对药品、耗材监控作用等</w:t>
            </w:r>
          </w:p>
        </w:tc>
      </w:tr>
      <w:tr>
        <w:tblPrEx>
          <w:tblLayout w:type="fixed"/>
          <w:tblCellMar>
            <w:top w:w="0" w:type="dxa"/>
            <w:left w:w="108" w:type="dxa"/>
            <w:bottom w:w="0" w:type="dxa"/>
            <w:right w:w="108" w:type="dxa"/>
          </w:tblCellMar>
        </w:tblPrEx>
        <w:trPr>
          <w:trHeight w:val="199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151</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其他</w:t>
            </w:r>
          </w:p>
        </w:tc>
        <w:tc>
          <w:tcPr>
            <w:tcW w:w="5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进销存管理不规范，院方不能提供完整清晰的进销存台账；病历医嘱和实际收费不相符；医院名称与医保名称比对错误；中药饮片没有具体的项目名称，统一用医保准予支付的中药饮片及复方进行报销；病历书写不规范；诊疗记录填写不规范；变相承包科室等</w:t>
            </w:r>
          </w:p>
        </w:tc>
      </w:tr>
    </w:tbl>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tbl>
      <w:tblPr>
        <w:tblStyle w:val="7"/>
        <w:tblW w:w="9350" w:type="dxa"/>
        <w:tblInd w:w="-101" w:type="dxa"/>
        <w:shd w:val="clear" w:color="auto" w:fill="auto"/>
        <w:tblLayout w:type="fixed"/>
        <w:tblCellMar>
          <w:top w:w="0" w:type="dxa"/>
          <w:left w:w="108" w:type="dxa"/>
          <w:bottom w:w="0" w:type="dxa"/>
          <w:right w:w="108" w:type="dxa"/>
        </w:tblCellMar>
      </w:tblPr>
      <w:tblGrid>
        <w:gridCol w:w="1134"/>
        <w:gridCol w:w="2183"/>
        <w:gridCol w:w="6033"/>
      </w:tblGrid>
      <w:tr>
        <w:tblPrEx>
          <w:shd w:val="clear" w:color="auto" w:fill="auto"/>
          <w:tblLayout w:type="fixed"/>
          <w:tblCellMar>
            <w:top w:w="0" w:type="dxa"/>
            <w:left w:w="108" w:type="dxa"/>
            <w:bottom w:w="0" w:type="dxa"/>
            <w:right w:w="108" w:type="dxa"/>
          </w:tblCellMar>
        </w:tblPrEx>
        <w:trPr>
          <w:trHeight w:val="375" w:hRule="atLeast"/>
        </w:trPr>
        <w:tc>
          <w:tcPr>
            <w:tcW w:w="3317"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pPr>
          </w:p>
        </w:tc>
        <w:tc>
          <w:tcPr>
            <w:tcW w:w="6033"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500" w:lineRule="exact"/>
              <w:jc w:val="left"/>
              <w:outlineLvl w:val="9"/>
              <w:rPr>
                <w:rFonts w:hint="eastAsia" w:ascii="宋体" w:hAnsi="宋体" w:eastAsia="宋体" w:cs="宋体"/>
                <w:i w:val="0"/>
                <w:iCs w:val="0"/>
                <w:color w:val="000000"/>
                <w:sz w:val="28"/>
                <w:szCs w:val="28"/>
                <w:u w:val="none"/>
              </w:rPr>
            </w:pPr>
          </w:p>
        </w:tc>
      </w:tr>
      <w:tr>
        <w:tblPrEx>
          <w:tblLayout w:type="fixed"/>
          <w:tblCellMar>
            <w:top w:w="0" w:type="dxa"/>
            <w:left w:w="108" w:type="dxa"/>
            <w:bottom w:w="0" w:type="dxa"/>
            <w:right w:w="108" w:type="dxa"/>
          </w:tblCellMar>
        </w:tblPrEx>
        <w:trPr>
          <w:trHeight w:val="1300" w:hRule="atLeast"/>
        </w:trPr>
        <w:tc>
          <w:tcPr>
            <w:tcW w:w="9350" w:type="dxa"/>
            <w:gridSpan w:val="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江西省医疗保障基金监管典型问题清单</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（第一版）</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黑体" w:hAnsi="宋体" w:eastAsia="黑体" w:cs="黑体"/>
                <w:i w:val="0"/>
                <w:iCs w:val="0"/>
                <w:color w:val="000000"/>
                <w:sz w:val="36"/>
                <w:szCs w:val="36"/>
                <w:u w:val="none"/>
              </w:rPr>
            </w:pPr>
            <w:r>
              <w:rPr>
                <w:rFonts w:hint="eastAsia" w:ascii="楷体_GB2312" w:hAnsi="楷体_GB2312" w:eastAsia="楷体_GB2312" w:cs="楷体_GB2312"/>
                <w:b/>
                <w:bCs/>
                <w:i w:val="0"/>
                <w:iCs w:val="0"/>
                <w:color w:val="000000"/>
                <w:kern w:val="0"/>
                <w:sz w:val="28"/>
                <w:szCs w:val="28"/>
                <w:u w:val="none"/>
                <w:lang w:val="en-US" w:eastAsia="zh-CN" w:bidi="ar"/>
              </w:rPr>
              <w:t>（定点零售药店）</w:t>
            </w:r>
          </w:p>
        </w:tc>
      </w:tr>
      <w:tr>
        <w:tblPrEx>
          <w:tblLayout w:type="fixed"/>
          <w:tblCellMar>
            <w:top w:w="0" w:type="dxa"/>
            <w:left w:w="108" w:type="dxa"/>
            <w:bottom w:w="0" w:type="dxa"/>
            <w:right w:w="108" w:type="dxa"/>
          </w:tblCellMar>
        </w:tblPrEx>
        <w:trPr>
          <w:trHeight w:val="399"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违规行为</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outlineLvl w:val="9"/>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财务管理不规范</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伪造虚假凭证或串通参保人员兑换现金，将医保目录范围之外的项目串换医保目录内结算</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药品进销存不一致</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比对错误</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销售明细中有食品销售</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存在以药换药</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药品进销存不符，如氨溴索等。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药品进销存不符，如奥美拉唑等。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药品进销存不符，如克咳胶囊等。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药品进销存不符，如午时茶等。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无药品进销存账目。</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药品进销存不符，如百令胶囊等。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药品进销存不符，如何首乌等。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药品进销存不符，如阿莫西林胶囊等。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比对错误</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销售明细中有食品销售</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存在以药换药</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药品经营范围有日化、食品等</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经营范围有食品许可范围</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药品阿莫西林存在替换刷卡情况</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医保上传数据影响大于药品销售量，存在以药换药情况</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经查实三七、复方板蓝根颗粒、四磨汤口服液进销存不符，存在以药换药行为</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经查实复方阿胶浆进销存不符，存在以药换药行为</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经查实牛黄解毒片进销存不符，存在以药换药行为</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串换收费</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创可贴、VD钙片、复方羊角颗粒比对成血塞通</w:t>
            </w:r>
          </w:p>
        </w:tc>
      </w:tr>
      <w:tr>
        <w:tblPrEx>
          <w:tblLayout w:type="fixed"/>
          <w:tblCellMar>
            <w:top w:w="0" w:type="dxa"/>
            <w:left w:w="108" w:type="dxa"/>
            <w:bottom w:w="0" w:type="dxa"/>
            <w:right w:w="108" w:type="dxa"/>
          </w:tblCellMar>
        </w:tblPrEx>
        <w:trPr>
          <w:trHeight w:val="41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序号</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违规行为</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问题表述</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购买非药品类非医疗器械类产品</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经查实大活络丸进销存不符，存在以药换药行为</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代刷医保卡</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党参、莲子等重要饮片单味销售</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进销存台账不完整</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黄芪库存严重不符</w:t>
            </w:r>
          </w:p>
        </w:tc>
      </w:tr>
      <w:tr>
        <w:tblPrEx>
          <w:tblLayout w:type="fixed"/>
          <w:tblCellMar>
            <w:top w:w="0" w:type="dxa"/>
            <w:left w:w="108" w:type="dxa"/>
            <w:bottom w:w="0" w:type="dxa"/>
            <w:right w:w="108" w:type="dxa"/>
          </w:tblCellMar>
        </w:tblPrEx>
        <w:trPr>
          <w:trHeight w:val="658"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进销存台账不完整</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抽查金水宝胶囊、复方感冒灵颗粒：、阿莫西林胶囊、罗红霉素分散片这几类药品发现进销存台账不符</w:t>
            </w:r>
          </w:p>
        </w:tc>
      </w:tr>
      <w:tr>
        <w:tblPrEx>
          <w:tblLayout w:type="fixed"/>
          <w:tblCellMar>
            <w:top w:w="0" w:type="dxa"/>
            <w:left w:w="108" w:type="dxa"/>
            <w:bottom w:w="0" w:type="dxa"/>
            <w:right w:w="108" w:type="dxa"/>
          </w:tblCellMar>
        </w:tblPrEx>
        <w:trPr>
          <w:trHeight w:val="114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进销存台账不完整</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抽查头孢诀辛脂片、阿莫西林分散片、阿莫西林胶囊、复方丹参片、奥美拉唑肠溶胶囊、马来酸依那普利片、决明降脂片这几类药品发现进销存台账不符</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进销存台账不完整</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抽查三七药片、麝香保心丸、辛芩颗粒、复方血栓胶囊、复方丹参片这几类药品发现进销存台账不符</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处方管理、医保标识不完善</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药品医保和非医保没有区分，营业时间执业药师不在岗，处方药销售，有登记无处方</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处方管理、医保标识不完善</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药品未区分医保和非医保标识。无医保端数据未进行比对。</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信息系统不健全</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未使用进销存系统</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信息系统不健全</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药店没有配备收费系统，现金交易，无法查询药店销售数据</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其他非医保药品串换为生晒参</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栀子金花丸串换为栀子</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入库未严格按照入库单操作，未完全使用系统管理</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部分药品的医保标识与非医保标识错误</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未悬挂定点医药机构标识牌。</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2.处方无药品规格及包装量。</w:t>
            </w:r>
            <w:bookmarkStart w:id="0" w:name="_GoBack"/>
            <w:bookmarkEnd w:id="0"/>
          </w:p>
        </w:tc>
      </w:tr>
      <w:tr>
        <w:tblPrEx>
          <w:tblLayout w:type="fixed"/>
          <w:tblCellMar>
            <w:top w:w="0" w:type="dxa"/>
            <w:left w:w="108" w:type="dxa"/>
            <w:bottom w:w="0" w:type="dxa"/>
            <w:right w:w="108" w:type="dxa"/>
          </w:tblCellMar>
        </w:tblPrEx>
        <w:trPr>
          <w:trHeight w:val="85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1.药师不在岗，但有药师证复印件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2.无代购药品身份信息登记记录</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少量处方书写无诊断</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少量处方用药不对症</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无代购信息登记本、电脑台账上有生活用品（凯尔得乐纸尿裤）、无法核对进销存数据</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无法核对进销存数据、收留医保卡</w:t>
            </w:r>
          </w:p>
        </w:tc>
      </w:tr>
      <w:tr>
        <w:tblPrEx>
          <w:tblLayout w:type="fixed"/>
          <w:tblCellMar>
            <w:top w:w="0" w:type="dxa"/>
            <w:left w:w="108" w:type="dxa"/>
            <w:bottom w:w="0" w:type="dxa"/>
            <w:right w:w="108" w:type="dxa"/>
          </w:tblCellMar>
        </w:tblPrEx>
        <w:trPr>
          <w:trHeight w:val="570"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电脑台账上有生活用品（纸尿裤、牙膏）、收留医保卡</w:t>
            </w:r>
          </w:p>
        </w:tc>
      </w:tr>
      <w:tr>
        <w:tblPrEx>
          <w:tblLayout w:type="fixed"/>
          <w:tblCellMar>
            <w:top w:w="0" w:type="dxa"/>
            <w:left w:w="108" w:type="dxa"/>
            <w:bottom w:w="0" w:type="dxa"/>
            <w:right w:w="108" w:type="dxa"/>
          </w:tblCellMar>
        </w:tblPrEx>
        <w:trPr>
          <w:trHeight w:val="37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6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未发现医保政策宣传栏、医保投诉电话</w:t>
            </w:r>
          </w:p>
        </w:tc>
      </w:tr>
    </w:tbl>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rPr>
          <w:rFonts w:hint="eastAsia"/>
          <w:lang w:val="en-US" w:eastAsia="zh-CN"/>
        </w:rPr>
      </w:pP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444E1"/>
    <w:rsid w:val="0196287E"/>
    <w:rsid w:val="03FF149F"/>
    <w:rsid w:val="0A5228DB"/>
    <w:rsid w:val="0E0923F8"/>
    <w:rsid w:val="0EFB18FF"/>
    <w:rsid w:val="141F1E7E"/>
    <w:rsid w:val="18E41617"/>
    <w:rsid w:val="1F914F81"/>
    <w:rsid w:val="25EB6A2B"/>
    <w:rsid w:val="3962346A"/>
    <w:rsid w:val="407076AF"/>
    <w:rsid w:val="45457B0F"/>
    <w:rsid w:val="45F93022"/>
    <w:rsid w:val="47341AEA"/>
    <w:rsid w:val="4BB73067"/>
    <w:rsid w:val="4C166969"/>
    <w:rsid w:val="4E3562B0"/>
    <w:rsid w:val="5654515F"/>
    <w:rsid w:val="590971FA"/>
    <w:rsid w:val="63273C79"/>
    <w:rsid w:val="66827E4F"/>
    <w:rsid w:val="77531C13"/>
    <w:rsid w:val="788D2BA7"/>
    <w:rsid w:val="7CC0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2021-03-25T02:30:00Z</dcterms:created>
  <dc:creator>Administrator</dc:creator>
  <cp:lastModifiedBy>lenovo</cp:lastModifiedBy>
  <cp:lastPrinted>2021-03-29T07:36:04Z</cp:lastPrinted>
  <dcterms:modified xsi:type="dcterms:W3CDTF">2021-03-29T07:37:18Z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573FC8454EED45AC90E0ABEF2B569D10</vt:lpwstr>
  </property>
</Properties>
</file>