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both"/>
        <w:textAlignment w:val="auto"/>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pPr>
      <w:r>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t>附件1　</w:t>
      </w:r>
    </w:p>
    <w:p>
      <w:pPr>
        <w:pStyle w:val="2"/>
        <w:pageBreakBefore w:val="0"/>
        <w:kinsoku/>
        <w:wordWrap/>
        <w:overflowPunct/>
        <w:topLinePunct w:val="0"/>
        <w:autoSpaceDE/>
        <w:autoSpaceDN/>
        <w:bidi w:val="0"/>
        <w:adjustRightInd/>
        <w:snapToGrid/>
        <w:spacing w:before="0" w:beforeLines="0" w:line="560" w:lineRule="exact"/>
        <w:textAlignment w:val="auto"/>
        <w:rPr>
          <w:rFonts w:hint="eastAsia"/>
          <w:lang w:val="en-US" w:eastAsia="zh-CN"/>
        </w:rPr>
      </w:pP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pPr>
      <w:bookmarkStart w:id="0" w:name="_GoBack"/>
      <w:r>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t>2021年医药机构医疗保障定点</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44"/>
          <w:szCs w:val="44"/>
          <w:shd w:val="clear" w:color="auto" w:fill="auto"/>
          <w:lang w:val="en-US" w:eastAsia="zh-CN" w:bidi="en-US"/>
        </w:rPr>
        <w:t>评估准入注意事项</w:t>
      </w:r>
      <w:bookmarkEnd w:id="0"/>
    </w:p>
    <w:p>
      <w:pPr>
        <w:pStyle w:val="2"/>
        <w:pageBreakBefore w:val="0"/>
        <w:numPr>
          <w:ilvl w:val="0"/>
          <w:numId w:val="0"/>
        </w:numPr>
        <w:kinsoku/>
        <w:wordWrap/>
        <w:overflowPunct/>
        <w:topLinePunct w:val="0"/>
        <w:autoSpaceDE/>
        <w:autoSpaceDN/>
        <w:bidi w:val="0"/>
        <w:adjustRightInd/>
        <w:snapToGrid/>
        <w:spacing w:before="0" w:beforeLines="0" w:after="0" w:line="560" w:lineRule="exact"/>
        <w:ind w:left="0" w:leftChars="0" w:right="0" w:rightChars="0"/>
        <w:jc w:val="both"/>
        <w:textAlignment w:val="auto"/>
        <w:rPr>
          <w:rFonts w:hint="eastAsia" w:ascii="Times New Roman" w:hAnsi="Times New Roman" w:eastAsia="仿宋_GB2312" w:cs="仿宋_GB2312"/>
          <w:b/>
          <w:bCs/>
          <w:color w:val="auto"/>
          <w:spacing w:val="0"/>
          <w:w w:val="100"/>
          <w:position w:val="0"/>
          <w:sz w:val="32"/>
          <w:szCs w:val="32"/>
          <w:lang w:val="en-US" w:eastAsia="zh-CN"/>
        </w:rPr>
      </w:pPr>
    </w:p>
    <w:p>
      <w:pPr>
        <w:pStyle w:val="2"/>
        <w:pageBreakBefore w:val="0"/>
        <w:numPr>
          <w:ilvl w:val="0"/>
          <w:numId w:val="0"/>
        </w:numPr>
        <w:kinsoku/>
        <w:wordWrap/>
        <w:overflowPunct/>
        <w:topLinePunct w:val="0"/>
        <w:autoSpaceDE/>
        <w:autoSpaceDN/>
        <w:bidi w:val="0"/>
        <w:adjustRightInd/>
        <w:snapToGrid/>
        <w:spacing w:before="0" w:beforeLines="0" w:after="0" w:line="560" w:lineRule="exact"/>
        <w:ind w:left="0" w:leftChars="0" w:right="0" w:rightChars="0"/>
        <w:jc w:val="both"/>
        <w:textAlignment w:val="auto"/>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pacing w:val="0"/>
          <w:w w:val="100"/>
          <w:position w:val="0"/>
          <w:sz w:val="32"/>
          <w:szCs w:val="32"/>
          <w:lang w:val="en-US" w:eastAsia="zh-CN"/>
        </w:rPr>
        <w:t>　　一、评估准入原则</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rPr>
        <w:t>坚持基本医疗保障需求导向，中西医并重，发挥基层医药机构的作用，进一步方便群众就医购药；引入竞争机制，注重各类医药卫生资源区域平衡、合理布局，促进优化配置，提高医药卫生资源的利用效率，合理控制医药服务成本和提高医药服务质量；公平、公正、公开，优化定点</w:t>
      </w:r>
      <w:r>
        <w:rPr>
          <w:rFonts w:hint="eastAsia" w:ascii="Times New Roman" w:hAnsi="Times New Roman" w:eastAsia="仿宋_GB2312" w:cs="仿宋_GB2312"/>
          <w:color w:val="auto"/>
          <w:spacing w:val="0"/>
          <w:w w:val="100"/>
          <w:position w:val="0"/>
          <w:sz w:val="32"/>
          <w:szCs w:val="32"/>
          <w:lang w:eastAsia="zh-CN"/>
        </w:rPr>
        <w:t>机构</w:t>
      </w:r>
      <w:r>
        <w:rPr>
          <w:rFonts w:hint="eastAsia" w:ascii="Times New Roman" w:hAnsi="Times New Roman" w:eastAsia="仿宋_GB2312" w:cs="仿宋_GB2312"/>
          <w:color w:val="auto"/>
          <w:spacing w:val="0"/>
          <w:w w:val="100"/>
          <w:position w:val="0"/>
          <w:sz w:val="32"/>
          <w:szCs w:val="32"/>
        </w:rPr>
        <w:t>评估工作流程，重点加强事中事后监管。</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黑体" w:hAnsi="黑体" w:eastAsia="黑体" w:cs="黑体"/>
          <w:b w:val="0"/>
          <w:bCs w:val="0"/>
          <w:color w:val="auto"/>
          <w:spacing w:val="0"/>
          <w:w w:val="100"/>
          <w:position w:val="0"/>
          <w:sz w:val="32"/>
          <w:szCs w:val="32"/>
          <w:lang w:eastAsia="zh-CN"/>
        </w:rPr>
      </w:pPr>
      <w:r>
        <w:rPr>
          <w:rFonts w:hint="eastAsia" w:ascii="黑体" w:hAnsi="黑体" w:eastAsia="黑体" w:cs="黑体"/>
          <w:b w:val="0"/>
          <w:bCs w:val="0"/>
          <w:color w:val="auto"/>
          <w:spacing w:val="0"/>
          <w:w w:val="100"/>
          <w:position w:val="0"/>
          <w:sz w:val="32"/>
          <w:szCs w:val="32"/>
          <w:lang w:eastAsia="zh-CN"/>
        </w:rPr>
        <w:t>二、评估准入范围</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rPr>
          <w:rFonts w:hint="eastAsia" w:ascii="Times New Roman" w:hAnsi="Times New Roman" w:eastAsia="仿宋_GB2312" w:cs="仿宋_GB2312"/>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lang w:eastAsia="zh-CN"/>
        </w:rPr>
        <w:t>在赣州市行政区域内</w:t>
      </w:r>
      <w:r>
        <w:rPr>
          <w:rFonts w:hint="eastAsia" w:ascii="Times New Roman" w:hAnsi="Times New Roman" w:eastAsia="仿宋_GB2312" w:cs="仿宋_GB2312"/>
          <w:color w:val="auto"/>
          <w:spacing w:val="0"/>
          <w:w w:val="100"/>
          <w:position w:val="0"/>
          <w:sz w:val="32"/>
          <w:szCs w:val="32"/>
        </w:rPr>
        <w:t>依法设立</w:t>
      </w:r>
      <w:r>
        <w:rPr>
          <w:rFonts w:hint="eastAsia" w:ascii="Times New Roman" w:hAnsi="Times New Roman" w:eastAsia="仿宋_GB2312" w:cs="仿宋_GB2312"/>
          <w:color w:val="auto"/>
          <w:spacing w:val="0"/>
          <w:w w:val="100"/>
          <w:position w:val="0"/>
          <w:sz w:val="32"/>
          <w:szCs w:val="32"/>
          <w:lang w:eastAsia="zh-CN"/>
        </w:rPr>
        <w:t>、具备</w:t>
      </w:r>
      <w:r>
        <w:rPr>
          <w:rFonts w:hint="eastAsia" w:ascii="Times New Roman" w:hAnsi="Times New Roman" w:eastAsia="仿宋_GB2312" w:cs="仿宋_GB2312"/>
          <w:color w:val="auto"/>
          <w:spacing w:val="0"/>
          <w:w w:val="100"/>
          <w:position w:val="0"/>
          <w:sz w:val="32"/>
          <w:szCs w:val="32"/>
        </w:rPr>
        <w:t>准入条件</w:t>
      </w:r>
      <w:r>
        <w:rPr>
          <w:rFonts w:hint="eastAsia" w:ascii="Times New Roman" w:hAnsi="Times New Roman" w:eastAsia="仿宋_GB2312" w:cs="仿宋_GB2312"/>
          <w:color w:val="auto"/>
          <w:spacing w:val="0"/>
          <w:w w:val="100"/>
          <w:position w:val="0"/>
          <w:sz w:val="32"/>
          <w:szCs w:val="32"/>
          <w:lang w:eastAsia="zh-CN"/>
        </w:rPr>
        <w:t>的</w:t>
      </w:r>
      <w:r>
        <w:rPr>
          <w:rFonts w:hint="eastAsia" w:ascii="Times New Roman" w:hAnsi="Times New Roman" w:eastAsia="仿宋_GB2312" w:cs="仿宋_GB2312"/>
          <w:color w:val="auto"/>
          <w:spacing w:val="0"/>
          <w:w w:val="100"/>
          <w:position w:val="0"/>
          <w:sz w:val="32"/>
          <w:szCs w:val="32"/>
        </w:rPr>
        <w:t>的各类医疗机构和零售药店，均可</w:t>
      </w:r>
      <w:r>
        <w:rPr>
          <w:rFonts w:hint="eastAsia" w:ascii="Times New Roman" w:hAnsi="Times New Roman" w:eastAsia="仿宋_GB2312" w:cs="仿宋_GB2312"/>
          <w:color w:val="000000"/>
          <w:spacing w:val="0"/>
          <w:w w:val="100"/>
          <w:kern w:val="0"/>
          <w:position w:val="0"/>
          <w:sz w:val="32"/>
          <w:szCs w:val="32"/>
          <w:shd w:val="clear" w:color="auto" w:fill="auto"/>
          <w:lang w:val="en-US" w:eastAsia="zh-CN" w:bidi="ar"/>
        </w:rPr>
        <w:t>自愿申请参加医药机构定点准入评估。此前已取得基本医保定点资格的医药机构不需重新申请评估准入（发生重大信息变更的除外）。</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黑体" w:hAnsi="黑体" w:eastAsia="黑体" w:cs="黑体"/>
          <w:b w:val="0"/>
          <w:bCs w:val="0"/>
          <w:color w:val="auto"/>
          <w:spacing w:val="0"/>
          <w:w w:val="100"/>
          <w:position w:val="0"/>
          <w:sz w:val="32"/>
          <w:szCs w:val="32"/>
          <w:lang w:eastAsia="zh-CN"/>
        </w:rPr>
      </w:pPr>
      <w:r>
        <w:rPr>
          <w:rFonts w:hint="eastAsia" w:ascii="黑体" w:hAnsi="黑体" w:eastAsia="黑体" w:cs="黑体"/>
          <w:b w:val="0"/>
          <w:bCs w:val="0"/>
          <w:color w:val="auto"/>
          <w:spacing w:val="0"/>
          <w:w w:val="100"/>
          <w:position w:val="0"/>
          <w:sz w:val="32"/>
          <w:szCs w:val="32"/>
          <w:lang w:eastAsia="zh-CN"/>
        </w:rPr>
        <w:t>三、评估准入基本条件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w:t>
      </w:r>
      <w:r>
        <w:rPr>
          <w:rFonts w:hint="eastAsia" w:ascii="Times New Roman" w:hAnsi="Times New Roman" w:eastAsia="仿宋_GB2312" w:cs="仿宋_GB2312"/>
          <w:color w:val="auto"/>
          <w:kern w:val="0"/>
          <w:sz w:val="32"/>
          <w:szCs w:val="32"/>
          <w:lang w:bidi="ar"/>
        </w:rPr>
        <w:t>在</w:t>
      </w:r>
      <w:r>
        <w:rPr>
          <w:rFonts w:hint="eastAsia" w:ascii="Times New Roman" w:hAnsi="Times New Roman" w:eastAsia="仿宋_GB2312" w:cs="仿宋_GB2312"/>
          <w:color w:val="auto"/>
          <w:kern w:val="0"/>
          <w:sz w:val="32"/>
          <w:szCs w:val="32"/>
          <w:lang w:eastAsia="zh-CN" w:bidi="ar"/>
        </w:rPr>
        <w:t>赣州</w:t>
      </w:r>
      <w:r>
        <w:rPr>
          <w:rFonts w:hint="eastAsia" w:ascii="Times New Roman" w:hAnsi="Times New Roman" w:eastAsia="仿宋_GB2312" w:cs="仿宋_GB2312"/>
          <w:color w:val="auto"/>
          <w:kern w:val="0"/>
          <w:sz w:val="32"/>
          <w:szCs w:val="32"/>
          <w:lang w:bidi="ar"/>
        </w:rPr>
        <w:t>市行政区域内，符合</w:t>
      </w:r>
      <w:r>
        <w:rPr>
          <w:rFonts w:hint="eastAsia" w:ascii="Times New Roman" w:hAnsi="Times New Roman" w:eastAsia="仿宋_GB2312" w:cs="仿宋_GB2312"/>
          <w:color w:val="auto"/>
          <w:kern w:val="0"/>
          <w:sz w:val="32"/>
          <w:szCs w:val="32"/>
          <w:lang w:eastAsia="zh-CN" w:bidi="ar"/>
        </w:rPr>
        <w:t>赣州</w:t>
      </w:r>
      <w:r>
        <w:rPr>
          <w:rFonts w:hint="eastAsia" w:ascii="Times New Roman" w:hAnsi="Times New Roman" w:eastAsia="仿宋_GB2312" w:cs="仿宋_GB2312"/>
          <w:color w:val="auto"/>
          <w:kern w:val="0"/>
          <w:sz w:val="32"/>
          <w:szCs w:val="32"/>
          <w:lang w:bidi="ar"/>
        </w:rPr>
        <w:t>市医疗保障定点医药机构规划设置要求。</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bidi="ar"/>
        </w:rPr>
        <w:t>2.</w:t>
      </w:r>
      <w:r>
        <w:rPr>
          <w:rFonts w:hint="eastAsia" w:ascii="Times New Roman" w:hAnsi="Times New Roman" w:eastAsia="仿宋_GB2312" w:cs="仿宋_GB2312"/>
          <w:color w:val="auto"/>
          <w:kern w:val="0"/>
          <w:sz w:val="32"/>
          <w:szCs w:val="32"/>
          <w:lang w:bidi="ar"/>
        </w:rPr>
        <w:t>依法</w:t>
      </w:r>
      <w:r>
        <w:rPr>
          <w:rFonts w:hint="eastAsia" w:ascii="Times New Roman" w:hAnsi="Times New Roman" w:eastAsia="仿宋_GB2312" w:cs="仿宋_GB2312"/>
          <w:color w:val="auto"/>
          <w:sz w:val="32"/>
          <w:szCs w:val="32"/>
        </w:rPr>
        <w:t>取得《医疗机构执业许可证》的医疗机构，以及经军队主管部门批准有为民医疗服务资质的军队医疗机构</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或</w:t>
      </w:r>
      <w:r>
        <w:rPr>
          <w:rFonts w:hint="eastAsia" w:ascii="Times New Roman" w:hAnsi="Times New Roman" w:eastAsia="仿宋_GB2312" w:cs="仿宋_GB2312"/>
          <w:color w:val="auto"/>
          <w:kern w:val="0"/>
          <w:sz w:val="32"/>
          <w:szCs w:val="32"/>
          <w:lang w:bidi="ar"/>
        </w:rPr>
        <w:t>依法取得《药品经营许可证》和《营业执照》的零售药店</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kern w:val="0"/>
          <w:sz w:val="32"/>
          <w:szCs w:val="32"/>
          <w:lang w:bidi="ar"/>
        </w:rPr>
        <w:t>证照齐全、均在有效期内，</w:t>
      </w:r>
      <w:r>
        <w:rPr>
          <w:rFonts w:hint="eastAsia" w:ascii="Times New Roman" w:hAnsi="Times New Roman" w:eastAsia="仿宋_GB2312" w:cs="仿宋_GB2312"/>
          <w:color w:val="auto"/>
          <w:sz w:val="32"/>
          <w:szCs w:val="32"/>
        </w:rPr>
        <w:t>正式运营达到3个月以上</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从申请截</w:t>
      </w:r>
      <w:r>
        <w:rPr>
          <w:rFonts w:hint="eastAsia" w:ascii="Times New Roman" w:hAnsi="Times New Roman" w:eastAsia="仿宋_GB2312" w:cs="仿宋_GB2312"/>
          <w:color w:val="auto"/>
          <w:sz w:val="32"/>
          <w:szCs w:val="32"/>
          <w:lang w:val="en-US" w:eastAsia="zh-CN"/>
        </w:rPr>
        <w:t>至</w:t>
      </w:r>
      <w:r>
        <w:rPr>
          <w:rFonts w:hint="eastAsia" w:ascii="Times New Roman" w:hAnsi="Times New Roman" w:eastAsia="仿宋_GB2312" w:cs="仿宋_GB2312"/>
          <w:color w:val="auto"/>
          <w:sz w:val="32"/>
          <w:szCs w:val="32"/>
        </w:rPr>
        <w:t>之日起计算，医药机构应具有1年以上医疗服务场所使用权或租赁合同剩余有效期限。</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bidi="ar"/>
        </w:rPr>
        <w:t>遵守国家有关医疗服务管理的法律、法规和标准，具有符合医疗保障要求的医保、财务、统计信息、医疗质量安全、网络安全等管理制度。</w:t>
      </w:r>
    </w:p>
    <w:p>
      <w:pPr>
        <w:pageBreakBefore w:val="0"/>
        <w:widowControl/>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4.医疗机构</w:t>
      </w:r>
      <w:r>
        <w:rPr>
          <w:rFonts w:hint="eastAsia" w:eastAsia="仿宋_GB2312" w:cs="仿宋_GB2312"/>
          <w:color w:val="auto"/>
          <w:sz w:val="32"/>
          <w:szCs w:val="32"/>
          <w:lang w:eastAsia="zh-CN" w:bidi="ar"/>
        </w:rPr>
        <w:t>至少有1名取得医师执业证书、乡村医生执业证书或中医（专长）医师资格证书且第一注册地在该医疗机构的医师</w:t>
      </w:r>
      <w:r>
        <w:rPr>
          <w:rFonts w:hint="eastAsia" w:ascii="Times New Roman" w:hAnsi="Times New Roman" w:eastAsia="仿宋_GB2312" w:cs="仿宋_GB2312"/>
          <w:color w:val="auto"/>
          <w:kern w:val="0"/>
          <w:sz w:val="32"/>
          <w:szCs w:val="32"/>
          <w:lang w:eastAsia="zh-CN" w:bidi="ar"/>
        </w:rPr>
        <w:t>；</w:t>
      </w:r>
      <w:r>
        <w:rPr>
          <w:rFonts w:hint="eastAsia" w:eastAsia="仿宋_GB2312" w:cs="仿宋_GB2312"/>
          <w:color w:val="auto"/>
          <w:sz w:val="32"/>
          <w:szCs w:val="32"/>
          <w:lang w:eastAsia="zh-CN" w:bidi="ar"/>
        </w:rPr>
        <w:t>主要负责人负责医保工作，配备专（兼）职医保管理人员；100张床位以上的医疗机构应设内部医保管理部门，安排专职</w:t>
      </w:r>
      <w:r>
        <w:rPr>
          <w:rFonts w:hint="eastAsia" w:ascii="Times New Roman" w:hAnsi="Times New Roman" w:eastAsia="仿宋_GB2312" w:cs="仿宋_GB2312"/>
          <w:color w:val="auto"/>
          <w:sz w:val="32"/>
          <w:szCs w:val="32"/>
          <w:lang w:eastAsia="zh-CN" w:bidi="ar"/>
        </w:rPr>
        <w:t>医保</w:t>
      </w:r>
      <w:r>
        <w:rPr>
          <w:rFonts w:hint="eastAsia" w:eastAsia="仿宋_GB2312" w:cs="仿宋_GB2312"/>
          <w:color w:val="auto"/>
          <w:sz w:val="32"/>
          <w:szCs w:val="32"/>
          <w:lang w:eastAsia="zh-CN" w:bidi="ar"/>
        </w:rPr>
        <w:t>工作人员</w:t>
      </w:r>
      <w:r>
        <w:rPr>
          <w:rFonts w:hint="eastAsia" w:ascii="Times New Roman" w:hAnsi="Times New Roman" w:eastAsia="仿宋_GB2312" w:cs="仿宋_GB2312"/>
          <w:color w:val="auto"/>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cs="仿宋_GB2312"/>
          <w:color w:val="auto"/>
          <w:sz w:val="32"/>
          <w:szCs w:val="32"/>
          <w:lang w:bidi="ar"/>
        </w:rPr>
      </w:pPr>
      <w:r>
        <w:rPr>
          <w:rFonts w:hint="eastAsia" w:eastAsia="仿宋_GB2312" w:cs="仿宋_GB2312"/>
          <w:color w:val="auto"/>
          <w:sz w:val="32"/>
          <w:szCs w:val="32"/>
          <w:lang w:val="en-US" w:eastAsia="en-US" w:bidi="ar"/>
        </w:rPr>
        <w:t>5.</w:t>
      </w:r>
      <w:r>
        <w:rPr>
          <w:rFonts w:hint="eastAsia" w:eastAsia="仿宋_GB2312" w:cs="仿宋_GB2312"/>
          <w:color w:val="auto"/>
          <w:sz w:val="32"/>
          <w:szCs w:val="32"/>
          <w:lang w:bidi="ar"/>
        </w:rPr>
        <w:t>零售药店至少有1名取得执业药师资格证书或具有药学、临床药学、中药学专业技术资格证书的药师，且注册地在该零售药店所在地，药师须签订1年以上劳动合同且在合同期内</w:t>
      </w:r>
      <w:r>
        <w:rPr>
          <w:rFonts w:hint="eastAsia" w:eastAsia="仿宋_GB2312" w:cs="仿宋_GB2312"/>
          <w:color w:val="auto"/>
          <w:kern w:val="0"/>
          <w:sz w:val="32"/>
          <w:szCs w:val="32"/>
          <w:lang w:eastAsia="en-US" w:bidi="ar"/>
        </w:rPr>
        <w:t>；</w:t>
      </w:r>
      <w:r>
        <w:rPr>
          <w:rFonts w:hint="eastAsia" w:eastAsia="仿宋_GB2312" w:cs="仿宋_GB2312"/>
          <w:color w:val="auto"/>
          <w:sz w:val="32"/>
          <w:szCs w:val="32"/>
          <w:lang w:bidi="ar"/>
        </w:rPr>
        <w:t>至少有2名熟悉医疗保障法律法规和相关制度规定的专（兼）职医保管理人员负责管理医保费用，并签订1年以上劳动合同且在合同期内</w:t>
      </w:r>
      <w:r>
        <w:rPr>
          <w:rFonts w:hint="eastAsia" w:ascii="Times New Roman" w:hAnsi="Times New Roman" w:eastAsia="仿宋_GB2312" w:cs="仿宋_GB2312"/>
          <w:color w:val="0000FF"/>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outlineLvl w:val="9"/>
        <w:rPr>
          <w:rFonts w:hint="eastAsia" w:ascii="Times New Roman" w:hAnsi="Times New Roman" w:eastAsia="仿宋_GB2312"/>
          <w:sz w:val="32"/>
        </w:rPr>
      </w:pPr>
      <w:r>
        <w:rPr>
          <w:rFonts w:hint="eastAsia" w:ascii="Times New Roman" w:hAnsi="Times New Roman" w:eastAsia="仿宋_GB2312"/>
          <w:sz w:val="32"/>
          <w:lang w:val="en-US" w:eastAsia="zh-CN"/>
        </w:rPr>
        <w:t>6.</w:t>
      </w:r>
      <w:r>
        <w:rPr>
          <w:rFonts w:hint="eastAsia" w:ascii="Times New Roman" w:hAnsi="Times New Roman" w:eastAsia="仿宋_GB2312"/>
          <w:sz w:val="32"/>
        </w:rPr>
        <w:t>零售药店需</w:t>
      </w:r>
      <w:r>
        <w:rPr>
          <w:rFonts w:hint="eastAsia" w:eastAsia="仿宋_GB2312"/>
          <w:sz w:val="32"/>
          <w:lang w:eastAsia="zh-CN"/>
        </w:rPr>
        <w:t>具有整洁的营业场所，</w:t>
      </w:r>
      <w:r>
        <w:rPr>
          <w:rFonts w:hint="eastAsia" w:eastAsia="仿宋_GB2312"/>
          <w:sz w:val="32"/>
          <w:szCs w:val="24"/>
          <w:lang w:eastAsia="zh-CN"/>
        </w:rPr>
        <w:t>按药品经营质量管理规范要求，开展药品分类分区管理，并对所售药品设立明确的医保用药标识</w:t>
      </w:r>
      <w:r>
        <w:rPr>
          <w:rFonts w:hint="eastAsia" w:ascii="Times New Roman" w:hAnsi="Times New Roman" w:eastAsia="仿宋_GB2312"/>
          <w:sz w:val="32"/>
          <w:szCs w:val="24"/>
          <w:lang w:eastAsia="zh-CN"/>
        </w:rPr>
        <w:t>，</w:t>
      </w:r>
      <w:r>
        <w:rPr>
          <w:rFonts w:hint="eastAsia" w:eastAsia="仿宋_GB2312"/>
          <w:sz w:val="32"/>
          <w:lang w:eastAsia="zh-CN"/>
        </w:rPr>
        <w:t>与非医保药品和其他</w:t>
      </w:r>
      <w:r>
        <w:rPr>
          <w:rFonts w:hint="eastAsia" w:ascii="Times New Roman" w:hAnsi="Times New Roman" w:eastAsia="仿宋_GB2312"/>
          <w:sz w:val="32"/>
          <w:lang w:eastAsia="zh-CN"/>
        </w:rPr>
        <w:t>医</w:t>
      </w:r>
      <w:r>
        <w:rPr>
          <w:rFonts w:hint="eastAsia" w:eastAsia="仿宋_GB2312"/>
          <w:sz w:val="32"/>
          <w:lang w:eastAsia="zh-CN"/>
        </w:rPr>
        <w:t>用品分开摆放。</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kern w:val="0"/>
          <w:sz w:val="32"/>
          <w:szCs w:val="32"/>
          <w:lang w:bidi="ar"/>
        </w:rPr>
        <w:t>应当具备完善的信息系统技术和接口标准，实现与医保信息系统有效实时对接，实现“进、销、存”数据实时上传，为参保人提供直接联网结算，有相应的管理和操作人员。设立医保药品、诊疗项目、医疗服务设施、医用耗材、疾病病种、医保医师、药师等基础数据库，按规定使用国家统一的医保编码。</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sz w:val="32"/>
          <w:szCs w:val="32"/>
        </w:rPr>
        <w:t>按规定参加基本医疗保险等社会保险，机构及其法定代表人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主要负责人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无不良信用记录。</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6"/>
          <w:kern w:val="0"/>
          <w:sz w:val="32"/>
          <w:szCs w:val="32"/>
          <w:lang w:bidi="ar"/>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spacing w:val="-6"/>
          <w:kern w:val="0"/>
          <w:sz w:val="32"/>
          <w:szCs w:val="32"/>
          <w:lang w:bidi="ar"/>
        </w:rPr>
        <w:t>符合国家、省、市医疗保障部门规定的其他条件及评估要求。</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b/>
          <w:bCs/>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kern w:val="0"/>
          <w:sz w:val="32"/>
          <w:szCs w:val="32"/>
          <w:lang w:val="en-US" w:eastAsia="zh-CN" w:bidi="ar"/>
        </w:rPr>
        <w:t xml:space="preserve"> </w:t>
      </w:r>
      <w:r>
        <w:rPr>
          <w:rFonts w:hint="eastAsia" w:ascii="黑体" w:hAnsi="黑体" w:eastAsia="黑体" w:cs="黑体"/>
          <w:b w:val="0"/>
          <w:bCs w:val="0"/>
          <w:color w:val="auto"/>
          <w:spacing w:val="0"/>
          <w:w w:val="100"/>
          <w:kern w:val="0"/>
          <w:position w:val="0"/>
          <w:sz w:val="32"/>
          <w:szCs w:val="32"/>
          <w:u w:val="none"/>
          <w:shd w:val="clear" w:color="auto" w:fill="auto"/>
          <w:lang w:val="en-US" w:eastAsia="zh-CN" w:bidi="ar"/>
        </w:rPr>
        <w:t>四、不予受理的情形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i w:val="0"/>
          <w:iCs w:val="0"/>
          <w:caps w:val="0"/>
          <w:color w:val="auto"/>
          <w:spacing w:val="0"/>
          <w:sz w:val="32"/>
          <w:szCs w:val="32"/>
          <w:shd w:val="clear" w:fill="auto"/>
          <w:lang w:bidi="ar"/>
        </w:rPr>
        <w:t>医药机构有下列情形之一的，不予受理定点申请：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1.以医疗美容、辅助生殖、生活照护、种植牙等非基本医疗服务为主要执业范围的；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2.医疗机构基本医疗服务未执行医疗保障行政部门制定的医药价格政策的；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3.未依法履行行政处罚责任的；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4.以弄虚作假等不正当手段申请定点，自发现之日起未满3年的；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5.因违法违规被解除医保协议未满3年或已满3年但未完全履行行政处罚法律责任的；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6.因严重违反医保协议约定而被解除协议未满1年或已满1年但未完全履行违约责任的；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7.法定代表人、主要（企业）负责人或实际控制人曾因严重违法违规导致原定点医药机构被解除医保协议，未满5年的；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8.法定代表人、主要（企业）负责人或实际控制人被列入失信人名单的；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lang w:bidi="ar"/>
        </w:rPr>
      </w:pPr>
      <w:r>
        <w:rPr>
          <w:rFonts w:hint="eastAsia" w:ascii="Times New Roman" w:hAnsi="Times New Roman" w:eastAsia="仿宋_GB2312" w:cs="仿宋_GB2312"/>
          <w:b w:val="0"/>
          <w:bCs w:val="0"/>
          <w:i w:val="0"/>
          <w:iCs w:val="0"/>
          <w:caps w:val="0"/>
          <w:color w:val="auto"/>
          <w:spacing w:val="0"/>
          <w:sz w:val="32"/>
          <w:szCs w:val="32"/>
          <w:shd w:val="clear" w:fill="auto"/>
          <w:lang w:bidi="ar"/>
        </w:rPr>
        <w:t>9.法律法规规定的其他不予受理的情形。</w:t>
      </w:r>
    </w:p>
    <w:p>
      <w:pPr>
        <w:widowControl/>
        <w:numPr>
          <w:ilvl w:val="0"/>
          <w:numId w:val="0"/>
        </w:numPr>
        <w:shd w:val="clear" w:color="auto" w:fill="auto"/>
        <w:spacing w:beforeLines="0" w:line="560" w:lineRule="exact"/>
        <w:ind w:right="0" w:rightChars="0" w:firstLine="640" w:firstLineChars="200"/>
        <w:jc w:val="both"/>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pacing w:val="0"/>
          <w:w w:val="100"/>
          <w:position w:val="0"/>
          <w:sz w:val="32"/>
          <w:szCs w:val="32"/>
          <w:lang w:val="en-US" w:eastAsia="zh-CN"/>
        </w:rPr>
        <w:t>、评估准入流程</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jc w:val="both"/>
        <w:textAlignment w:val="auto"/>
        <w:rPr>
          <w:rFonts w:hint="eastAsia" w:ascii="楷体_GB2312" w:hAnsi="楷体_GB2312" w:eastAsia="楷体_GB2312" w:cs="楷体_GB2312"/>
          <w:b/>
          <w:bCs/>
          <w:color w:val="auto"/>
          <w:spacing w:val="0"/>
          <w:w w:val="100"/>
          <w:position w:val="0"/>
          <w:sz w:val="32"/>
          <w:szCs w:val="32"/>
          <w:highlight w:val="none"/>
          <w:lang w:eastAsia="zh-CN"/>
        </w:rPr>
      </w:pPr>
      <w:r>
        <w:rPr>
          <w:rFonts w:hint="eastAsia" w:ascii="Times New Roman" w:hAnsi="Times New Roman" w:eastAsia="仿宋_GB2312" w:cs="仿宋_GB2312"/>
          <w:b/>
          <w:bCs/>
          <w:color w:val="auto"/>
          <w:spacing w:val="0"/>
          <w:w w:val="100"/>
          <w:position w:val="0"/>
          <w:sz w:val="32"/>
          <w:szCs w:val="32"/>
          <w:lang w:eastAsia="zh-CN"/>
        </w:rPr>
        <w:t>　　</w:t>
      </w:r>
      <w:r>
        <w:rPr>
          <w:rFonts w:hint="eastAsia" w:ascii="楷体_GB2312" w:hAnsi="楷体_GB2312" w:eastAsia="楷体_GB2312" w:cs="楷体_GB2312"/>
          <w:b/>
          <w:bCs/>
          <w:color w:val="auto"/>
          <w:spacing w:val="0"/>
          <w:w w:val="100"/>
          <w:position w:val="0"/>
          <w:sz w:val="32"/>
          <w:szCs w:val="32"/>
          <w:lang w:eastAsia="zh-CN"/>
        </w:rPr>
        <w:t>（一）医药机构定点申请材料受理</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position w:val="0"/>
          <w:sz w:val="32"/>
          <w:szCs w:val="32"/>
          <w:lang w:eastAsia="zh-CN"/>
        </w:rPr>
      </w:pPr>
      <w:r>
        <w:rPr>
          <w:rFonts w:hint="eastAsia" w:ascii="Times New Roman" w:hAnsi="Times New Roman" w:eastAsia="仿宋_GB2312" w:cs="仿宋_GB2312"/>
          <w:color w:val="auto"/>
          <w:spacing w:val="0"/>
          <w:w w:val="100"/>
          <w:position w:val="0"/>
          <w:sz w:val="32"/>
          <w:szCs w:val="32"/>
        </w:rPr>
        <w:t>医疗机构</w:t>
      </w:r>
      <w:r>
        <w:rPr>
          <w:rFonts w:hint="eastAsia" w:ascii="Times New Roman" w:hAnsi="Times New Roman" w:eastAsia="仿宋_GB2312" w:cs="仿宋_GB2312"/>
          <w:color w:val="auto"/>
          <w:spacing w:val="0"/>
          <w:w w:val="100"/>
          <w:position w:val="0"/>
          <w:sz w:val="32"/>
          <w:szCs w:val="32"/>
          <w:lang w:eastAsia="zh-CN"/>
        </w:rPr>
        <w:t>、零售药店</w:t>
      </w:r>
      <w:r>
        <w:rPr>
          <w:rFonts w:hint="eastAsia" w:ascii="Times New Roman" w:hAnsi="Times New Roman" w:eastAsia="仿宋_GB2312" w:cs="仿宋_GB2312"/>
          <w:color w:val="auto"/>
          <w:spacing w:val="0"/>
          <w:w w:val="100"/>
          <w:position w:val="0"/>
          <w:sz w:val="32"/>
          <w:szCs w:val="32"/>
        </w:rPr>
        <w:t>对照准入基本条件</w:t>
      </w:r>
      <w:r>
        <w:rPr>
          <w:rFonts w:hint="eastAsia" w:ascii="Times New Roman" w:hAnsi="Times New Roman" w:eastAsia="仿宋_GB2312" w:cs="仿宋_GB2312"/>
          <w:color w:val="auto"/>
          <w:spacing w:val="0"/>
          <w:w w:val="100"/>
          <w:position w:val="0"/>
          <w:sz w:val="32"/>
          <w:szCs w:val="32"/>
          <w:lang w:eastAsia="zh-CN"/>
        </w:rPr>
        <w:t>及不予受理的情形</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按</w:t>
      </w:r>
      <w:r>
        <w:rPr>
          <w:rFonts w:hint="eastAsia" w:ascii="Times New Roman" w:hAnsi="Times New Roman" w:eastAsia="仿宋_GB2312" w:cs="仿宋_GB2312"/>
          <w:color w:val="auto"/>
          <w:spacing w:val="0"/>
          <w:w w:val="100"/>
          <w:position w:val="0"/>
          <w:sz w:val="32"/>
          <w:szCs w:val="32"/>
        </w:rPr>
        <w:t>照《赣州市医疗保障定点医疗机构综合评估表》《赣州市医疗保障定点</w:t>
      </w:r>
      <w:r>
        <w:rPr>
          <w:rFonts w:hint="eastAsia" w:ascii="Times New Roman" w:hAnsi="Times New Roman" w:eastAsia="仿宋_GB2312" w:cs="仿宋_GB2312"/>
          <w:color w:val="auto"/>
          <w:spacing w:val="0"/>
          <w:w w:val="100"/>
          <w:position w:val="0"/>
          <w:sz w:val="32"/>
          <w:szCs w:val="32"/>
          <w:lang w:eastAsia="zh-CN"/>
        </w:rPr>
        <w:t>零售药店</w:t>
      </w:r>
      <w:r>
        <w:rPr>
          <w:rFonts w:hint="eastAsia" w:ascii="Times New Roman" w:hAnsi="Times New Roman" w:eastAsia="仿宋_GB2312" w:cs="仿宋_GB2312"/>
          <w:color w:val="auto"/>
          <w:spacing w:val="0"/>
          <w:w w:val="100"/>
          <w:position w:val="0"/>
          <w:sz w:val="32"/>
          <w:szCs w:val="32"/>
        </w:rPr>
        <w:t>综合评估表》（见附件</w:t>
      </w:r>
      <w:r>
        <w:rPr>
          <w:rFonts w:hint="eastAsia" w:ascii="Times New Roman" w:hAnsi="Times New Roman" w:eastAsia="仿宋_GB2312" w:cs="仿宋_GB2312"/>
          <w:color w:val="auto"/>
          <w:spacing w:val="0"/>
          <w:w w:val="100"/>
          <w:position w:val="0"/>
          <w:sz w:val="32"/>
          <w:szCs w:val="32"/>
          <w:lang w:val="en-US" w:eastAsia="zh-CN"/>
        </w:rPr>
        <w:t>5</w:t>
      </w:r>
      <w:r>
        <w:rPr>
          <w:rFonts w:hint="eastAsia" w:ascii="Times New Roman" w:hAnsi="Times New Roman" w:eastAsia="仿宋_GB2312" w:cs="仿宋_GB2312"/>
          <w:color w:val="auto"/>
          <w:spacing w:val="0"/>
          <w:w w:val="100"/>
          <w:position w:val="0"/>
          <w:sz w:val="32"/>
          <w:szCs w:val="32"/>
          <w:lang w:eastAsia="zh-CN"/>
        </w:rPr>
        <w:t>、附件</w:t>
      </w:r>
      <w:r>
        <w:rPr>
          <w:rFonts w:hint="eastAsia" w:ascii="Times New Roman" w:hAnsi="Times New Roman" w:eastAsia="仿宋_GB2312" w:cs="仿宋_GB2312"/>
          <w:color w:val="auto"/>
          <w:spacing w:val="0"/>
          <w:w w:val="100"/>
          <w:position w:val="0"/>
          <w:sz w:val="32"/>
          <w:szCs w:val="32"/>
          <w:lang w:val="en-US" w:eastAsia="zh-CN"/>
        </w:rPr>
        <w:t>6</w:t>
      </w:r>
      <w:r>
        <w:rPr>
          <w:rFonts w:hint="eastAsia" w:ascii="Times New Roman" w:hAnsi="Times New Roman" w:eastAsia="仿宋_GB2312" w:cs="仿宋_GB2312"/>
          <w:color w:val="auto"/>
          <w:spacing w:val="0"/>
          <w:w w:val="100"/>
          <w:position w:val="0"/>
          <w:sz w:val="32"/>
          <w:szCs w:val="32"/>
        </w:rPr>
        <w:t>）</w:t>
      </w:r>
      <w:r>
        <w:rPr>
          <w:rFonts w:hint="eastAsia" w:ascii="Times New Roman" w:hAnsi="Times New Roman" w:eastAsia="仿宋_GB2312" w:cs="仿宋_GB2312"/>
          <w:color w:val="auto"/>
          <w:spacing w:val="0"/>
          <w:w w:val="100"/>
          <w:position w:val="0"/>
          <w:sz w:val="32"/>
          <w:szCs w:val="32"/>
          <w:lang w:eastAsia="zh-CN"/>
        </w:rPr>
        <w:t>相关要求</w:t>
      </w:r>
      <w:r>
        <w:rPr>
          <w:rFonts w:hint="eastAsia" w:ascii="Times New Roman" w:hAnsi="Times New Roman" w:eastAsia="仿宋_GB2312" w:cs="仿宋_GB2312"/>
          <w:color w:val="auto"/>
          <w:spacing w:val="0"/>
          <w:w w:val="100"/>
          <w:position w:val="0"/>
          <w:sz w:val="32"/>
          <w:szCs w:val="32"/>
        </w:rPr>
        <w:t>于</w:t>
      </w:r>
      <w:r>
        <w:rPr>
          <w:rFonts w:hint="eastAsia" w:ascii="Times New Roman" w:hAnsi="Times New Roman" w:eastAsia="仿宋_GB2312" w:cs="仿宋_GB2312"/>
          <w:color w:val="auto"/>
          <w:spacing w:val="0"/>
          <w:w w:val="100"/>
          <w:position w:val="0"/>
          <w:sz w:val="32"/>
          <w:szCs w:val="32"/>
          <w:highlight w:val="none"/>
          <w:lang w:val="en-US" w:eastAsia="zh-CN"/>
        </w:rPr>
        <w:t>7</w:t>
      </w:r>
      <w:r>
        <w:rPr>
          <w:rFonts w:hint="eastAsia" w:ascii="Times New Roman" w:hAnsi="Times New Roman" w:eastAsia="仿宋_GB2312" w:cs="仿宋_GB2312"/>
          <w:color w:val="auto"/>
          <w:spacing w:val="0"/>
          <w:w w:val="100"/>
          <w:position w:val="0"/>
          <w:sz w:val="32"/>
          <w:szCs w:val="32"/>
          <w:highlight w:val="none"/>
        </w:rPr>
        <w:t>月</w:t>
      </w:r>
      <w:r>
        <w:rPr>
          <w:rFonts w:hint="eastAsia" w:ascii="Times New Roman" w:hAnsi="Times New Roman" w:eastAsia="仿宋_GB2312" w:cs="仿宋_GB2312"/>
          <w:color w:val="auto"/>
          <w:spacing w:val="0"/>
          <w:w w:val="100"/>
          <w:position w:val="0"/>
          <w:sz w:val="32"/>
          <w:szCs w:val="32"/>
          <w:highlight w:val="none"/>
          <w:lang w:val="en-US" w:eastAsia="zh-CN"/>
        </w:rPr>
        <w:t>10</w:t>
      </w:r>
      <w:r>
        <w:rPr>
          <w:rFonts w:hint="eastAsia" w:ascii="Times New Roman" w:hAnsi="Times New Roman" w:eastAsia="仿宋_GB2312" w:cs="仿宋_GB2312"/>
          <w:color w:val="auto"/>
          <w:spacing w:val="0"/>
          <w:w w:val="100"/>
          <w:position w:val="0"/>
          <w:sz w:val="32"/>
          <w:szCs w:val="32"/>
          <w:highlight w:val="none"/>
        </w:rPr>
        <w:t>日前</w:t>
      </w:r>
      <w:r>
        <w:rPr>
          <w:rFonts w:hint="eastAsia" w:ascii="Times New Roman" w:hAnsi="Times New Roman" w:eastAsia="仿宋_GB2312" w:cs="仿宋_GB2312"/>
          <w:color w:val="auto"/>
          <w:spacing w:val="0"/>
          <w:w w:val="100"/>
          <w:position w:val="0"/>
          <w:sz w:val="32"/>
          <w:szCs w:val="32"/>
          <w:highlight w:val="none"/>
          <w:lang w:eastAsia="zh-CN"/>
        </w:rPr>
        <w:t>向所在辖区</w:t>
      </w:r>
      <w:r>
        <w:rPr>
          <w:rFonts w:hint="eastAsia" w:ascii="Times New Roman" w:hAnsi="Times New Roman" w:eastAsia="仿宋_GB2312" w:cs="仿宋_GB2312"/>
          <w:color w:val="auto"/>
          <w:kern w:val="0"/>
          <w:sz w:val="32"/>
          <w:szCs w:val="32"/>
          <w:highlight w:val="none"/>
          <w:lang w:bidi="ar"/>
        </w:rPr>
        <w:t>医保经办机构</w:t>
      </w:r>
      <w:r>
        <w:rPr>
          <w:rFonts w:hint="eastAsia" w:ascii="Times New Roman" w:hAnsi="Times New Roman" w:eastAsia="仿宋_GB2312" w:cs="仿宋_GB2312"/>
          <w:color w:val="auto"/>
          <w:kern w:val="0"/>
          <w:sz w:val="32"/>
          <w:szCs w:val="32"/>
          <w:highlight w:val="none"/>
          <w:lang w:eastAsia="zh-CN" w:bidi="ar"/>
        </w:rPr>
        <w:t>如实提交申报材料</w:t>
      </w:r>
      <w:r>
        <w:rPr>
          <w:rFonts w:hint="eastAsia" w:ascii="Times New Roman" w:hAnsi="Times New Roman" w:eastAsia="仿宋_GB2312" w:cs="仿宋_GB2312"/>
          <w:color w:val="auto"/>
          <w:spacing w:val="0"/>
          <w:w w:val="100"/>
          <w:position w:val="0"/>
          <w:sz w:val="32"/>
          <w:szCs w:val="32"/>
          <w:highlight w:val="none"/>
          <w:lang w:eastAsia="zh-CN"/>
        </w:rPr>
        <w:t>，</w:t>
      </w:r>
      <w:r>
        <w:rPr>
          <w:rFonts w:hint="eastAsia" w:ascii="Times New Roman" w:hAnsi="Times New Roman" w:eastAsia="仿宋_GB2312" w:cs="仿宋_GB2312"/>
          <w:color w:val="auto"/>
          <w:spacing w:val="0"/>
          <w:w w:val="100"/>
          <w:position w:val="0"/>
          <w:sz w:val="32"/>
          <w:szCs w:val="32"/>
          <w:highlight w:val="none"/>
        </w:rPr>
        <w:t>逾</w:t>
      </w:r>
      <w:r>
        <w:rPr>
          <w:rFonts w:hint="eastAsia" w:ascii="Times New Roman" w:hAnsi="Times New Roman" w:eastAsia="仿宋_GB2312" w:cs="仿宋_GB2312"/>
          <w:color w:val="auto"/>
          <w:spacing w:val="0"/>
          <w:w w:val="100"/>
          <w:position w:val="0"/>
          <w:sz w:val="32"/>
          <w:szCs w:val="32"/>
        </w:rPr>
        <w:t>期</w:t>
      </w:r>
      <w:r>
        <w:rPr>
          <w:rFonts w:hint="eastAsia" w:ascii="Times New Roman" w:hAnsi="Times New Roman" w:eastAsia="仿宋_GB2312" w:cs="仿宋_GB2312"/>
          <w:color w:val="auto"/>
          <w:spacing w:val="0"/>
          <w:w w:val="100"/>
          <w:position w:val="0"/>
          <w:sz w:val="32"/>
          <w:szCs w:val="32"/>
          <w:lang w:eastAsia="zh-CN"/>
        </w:rPr>
        <w:t>不纳入本次评估。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1.</w:t>
      </w:r>
      <w:r>
        <w:rPr>
          <w:rFonts w:hint="eastAsia" w:eastAsia="仿宋_GB2312"/>
          <w:sz w:val="32"/>
          <w:lang w:eastAsia="zh-CN"/>
        </w:rPr>
        <w:t>医疗机构准入申请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rPr>
      </w:pPr>
      <w:r>
        <w:rPr>
          <w:rFonts w:hint="eastAsia" w:eastAsia="仿宋_GB2312"/>
          <w:sz w:val="32"/>
          <w:lang w:eastAsia="zh-CN"/>
        </w:rPr>
        <w:t>（</w:t>
      </w:r>
      <w:r>
        <w:rPr>
          <w:rFonts w:hint="eastAsia" w:eastAsia="仿宋_GB2312"/>
          <w:sz w:val="32"/>
          <w:lang w:val="en-US" w:eastAsia="zh-CN"/>
        </w:rPr>
        <w:t>1</w:t>
      </w:r>
      <w:r>
        <w:rPr>
          <w:rFonts w:hint="eastAsia" w:eastAsia="仿宋_GB2312"/>
          <w:sz w:val="32"/>
          <w:lang w:eastAsia="zh-CN"/>
        </w:rPr>
        <w:t>）《赣州市医疗保障</w:t>
      </w:r>
      <w:r>
        <w:rPr>
          <w:rFonts w:hint="eastAsia" w:eastAsia="仿宋_GB2312"/>
          <w:sz w:val="32"/>
        </w:rPr>
        <w:t>定点医疗机构申请表</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eastAsia="仿宋_GB2312"/>
          <w:sz w:val="32"/>
          <w:lang w:val="en-US" w:eastAsia="zh-CN"/>
        </w:rPr>
      </w:pPr>
      <w:r>
        <w:rPr>
          <w:rFonts w:hint="eastAsia" w:eastAsia="仿宋_GB2312"/>
          <w:sz w:val="32"/>
          <w:lang w:val="en-US" w:eastAsia="zh-CN"/>
        </w:rPr>
        <w:t>（2）《赣州市医疗保障定点医疗机构综合评估表》（自评得分）；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（3）</w:t>
      </w:r>
      <w:r>
        <w:rPr>
          <w:rFonts w:hint="eastAsia" w:eastAsia="仿宋_GB2312"/>
          <w:sz w:val="32"/>
        </w:rPr>
        <w:t>《医疗机构执业许可证》</w:t>
      </w:r>
      <w:r>
        <w:rPr>
          <w:rFonts w:hint="eastAsia" w:eastAsia="仿宋_GB2312"/>
          <w:sz w:val="32"/>
          <w:lang w:eastAsia="zh-CN"/>
        </w:rPr>
        <w:t>正本复印件和副本复印件，</w:t>
      </w:r>
      <w:r>
        <w:rPr>
          <w:rFonts w:hint="eastAsia" w:eastAsia="仿宋_GB2312"/>
          <w:sz w:val="32"/>
        </w:rPr>
        <w:t>《营业执照》或《民办非企业单位登记证》复印件；军队医疗机构另需提交军队对外有偿服务许可证及有偿收费许可证</w:t>
      </w:r>
      <w:r>
        <w:rPr>
          <w:rFonts w:hint="eastAsia" w:eastAsia="仿宋_GB2312"/>
          <w:sz w:val="32"/>
          <w:lang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（4）</w:t>
      </w:r>
      <w:r>
        <w:rPr>
          <w:rFonts w:hint="eastAsia" w:eastAsia="仿宋_GB2312"/>
          <w:sz w:val="32"/>
        </w:rPr>
        <w:t>医疗机构设置批复文件、等级评审文件</w:t>
      </w:r>
      <w:r>
        <w:rPr>
          <w:rFonts w:hint="eastAsia" w:eastAsia="仿宋_GB2312"/>
          <w:sz w:val="32"/>
          <w:lang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outlineLvl w:val="9"/>
        <w:rPr>
          <w:rFonts w:hint="eastAsia" w:eastAsia="仿宋_GB2312"/>
          <w:spacing w:val="-6"/>
          <w:sz w:val="32"/>
          <w:lang w:eastAsia="zh-CN"/>
        </w:rPr>
      </w:pPr>
      <w:r>
        <w:rPr>
          <w:rFonts w:hint="eastAsia" w:eastAsia="仿宋_GB2312"/>
          <w:spacing w:val="-6"/>
          <w:sz w:val="32"/>
          <w:lang w:val="en-US" w:eastAsia="zh-CN"/>
        </w:rPr>
        <w:t>（5）</w:t>
      </w:r>
      <w:r>
        <w:rPr>
          <w:rFonts w:hint="eastAsia" w:eastAsia="仿宋_GB2312"/>
          <w:spacing w:val="-6"/>
          <w:sz w:val="32"/>
          <w:lang w:eastAsia="zh-CN"/>
        </w:rPr>
        <w:t>有大型医疗设备的医疗机构另需提供</w:t>
      </w:r>
      <w:r>
        <w:rPr>
          <w:rFonts w:hint="eastAsia" w:eastAsia="仿宋_GB2312"/>
          <w:spacing w:val="-6"/>
          <w:sz w:val="32"/>
        </w:rPr>
        <w:t>大型医疗设备清单</w:t>
      </w:r>
      <w:r>
        <w:rPr>
          <w:rFonts w:hint="eastAsia" w:eastAsia="仿宋_GB2312"/>
          <w:spacing w:val="-6"/>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eastAsia="仿宋_GB2312"/>
          <w:sz w:val="32"/>
          <w:lang w:eastAsia="zh-CN"/>
        </w:rPr>
      </w:pPr>
      <w:r>
        <w:rPr>
          <w:rFonts w:hint="eastAsia" w:eastAsia="仿宋_GB2312"/>
          <w:sz w:val="32"/>
          <w:lang w:val="en-US" w:eastAsia="zh-CN"/>
        </w:rPr>
        <w:t>（6）</w:t>
      </w:r>
      <w:r>
        <w:rPr>
          <w:rFonts w:hint="eastAsia" w:eastAsia="仿宋_GB2312"/>
          <w:sz w:val="32"/>
        </w:rPr>
        <w:t>科室设置及医务人员的执业信息</w:t>
      </w:r>
      <w:r>
        <w:rPr>
          <w:rFonts w:hint="eastAsia" w:eastAsia="仿宋_GB2312"/>
          <w:sz w:val="32"/>
          <w:lang w:eastAsia="zh-CN"/>
        </w:rPr>
        <w:t>；服务场所房产证或租赁合同复印件、临床科室清单、大型医疗设备清单、诊疗项目清单、药品品种和价格收费清单；</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sz w:val="32"/>
          <w:szCs w:val="32"/>
          <w:lang w:bidi="ar"/>
        </w:rPr>
        <w:t>职工</w:t>
      </w:r>
      <w:r>
        <w:rPr>
          <w:rFonts w:hint="eastAsia" w:ascii="Times New Roman" w:hAnsi="Times New Roman" w:eastAsia="仿宋_GB2312" w:cs="仿宋_GB2312"/>
          <w:color w:val="auto"/>
          <w:sz w:val="32"/>
          <w:szCs w:val="32"/>
          <w:lang w:eastAsia="zh-CN" w:bidi="ar"/>
        </w:rPr>
        <w:t>花名册、</w:t>
      </w:r>
      <w:r>
        <w:rPr>
          <w:rFonts w:hint="eastAsia" w:ascii="Times New Roman" w:hAnsi="Times New Roman" w:eastAsia="仿宋_GB2312" w:cs="仿宋_GB2312"/>
          <w:color w:val="auto"/>
          <w:sz w:val="32"/>
          <w:szCs w:val="32"/>
          <w:lang w:val="en-US" w:eastAsia="zh-CN" w:bidi="ar"/>
        </w:rPr>
        <w:t>工资表、</w:t>
      </w:r>
      <w:r>
        <w:rPr>
          <w:rFonts w:hint="eastAsia" w:ascii="Times New Roman" w:hAnsi="Times New Roman" w:eastAsia="仿宋_GB2312" w:cs="仿宋_GB2312"/>
          <w:color w:val="auto"/>
          <w:sz w:val="32"/>
          <w:szCs w:val="32"/>
          <w:lang w:eastAsia="zh-CN" w:bidi="ar"/>
        </w:rPr>
        <w:t>职工</w:t>
      </w:r>
      <w:r>
        <w:rPr>
          <w:rFonts w:hint="eastAsia" w:ascii="Times New Roman" w:hAnsi="Times New Roman" w:eastAsia="仿宋_GB2312" w:cs="仿宋_GB2312"/>
          <w:color w:val="auto"/>
          <w:sz w:val="32"/>
          <w:szCs w:val="32"/>
          <w:lang w:bidi="ar"/>
        </w:rPr>
        <w:t>参加</w:t>
      </w:r>
      <w:r>
        <w:rPr>
          <w:rFonts w:hint="eastAsia" w:ascii="Times New Roman" w:hAnsi="Times New Roman" w:eastAsia="仿宋_GB2312" w:cs="仿宋_GB2312"/>
          <w:color w:val="auto"/>
          <w:sz w:val="32"/>
          <w:szCs w:val="32"/>
          <w:lang w:eastAsia="zh-CN" w:bidi="ar"/>
        </w:rPr>
        <w:t>医疗</w:t>
      </w:r>
      <w:r>
        <w:rPr>
          <w:rFonts w:hint="eastAsia" w:ascii="Times New Roman" w:hAnsi="Times New Roman" w:eastAsia="仿宋_GB2312" w:cs="仿宋_GB2312"/>
          <w:color w:val="auto"/>
          <w:sz w:val="32"/>
          <w:szCs w:val="32"/>
          <w:lang w:bidi="ar"/>
        </w:rPr>
        <w:t>保险证明材料</w:t>
      </w:r>
      <w:r>
        <w:rPr>
          <w:rFonts w:hint="eastAsia" w:ascii="Times New Roman" w:hAnsi="Times New Roman" w:eastAsia="仿宋_GB2312" w:cs="仿宋_GB2312"/>
          <w:color w:val="auto"/>
          <w:sz w:val="32"/>
          <w:szCs w:val="32"/>
          <w:lang w:eastAsia="zh-CN" w:bidi="ar"/>
        </w:rPr>
        <w:t>和</w:t>
      </w:r>
      <w:r>
        <w:rPr>
          <w:rFonts w:hint="eastAsia" w:ascii="Times New Roman" w:hAnsi="Times New Roman" w:eastAsia="仿宋_GB2312" w:cs="仿宋_GB2312"/>
          <w:color w:val="auto"/>
          <w:sz w:val="32"/>
          <w:szCs w:val="32"/>
          <w:lang w:bidi="ar"/>
        </w:rPr>
        <w:t>劳动合同复印件</w:t>
      </w:r>
      <w:r>
        <w:rPr>
          <w:rFonts w:hint="eastAsia" w:ascii="Times New Roman" w:hAnsi="Times New Roman" w:eastAsia="仿宋_GB2312" w:cs="仿宋_GB2312"/>
          <w:color w:val="auto"/>
          <w:sz w:val="32"/>
          <w:szCs w:val="32"/>
          <w:lang w:eastAsia="zh-CN" w:bidi="ar"/>
        </w:rPr>
        <w:t>；</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bidi="ar"/>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sz w:val="32"/>
          <w:szCs w:val="32"/>
          <w:lang w:bidi="ar"/>
        </w:rPr>
        <w:t>与医疗保障政策对应的内部管理制度和财务制度等</w:t>
      </w:r>
      <w:r>
        <w:rPr>
          <w:rFonts w:hint="eastAsia" w:ascii="Times New Roman" w:hAnsi="Times New Roman" w:eastAsia="仿宋_GB2312" w:cs="仿宋_GB2312"/>
          <w:color w:val="auto"/>
          <w:sz w:val="32"/>
          <w:szCs w:val="32"/>
          <w:lang w:eastAsia="zh-CN" w:bidi="ar"/>
        </w:rPr>
        <w:t>；</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sz w:val="32"/>
          <w:szCs w:val="32"/>
          <w:lang w:bidi="ar"/>
        </w:rPr>
        <w:t>与医疗保障有关的信息系统相关材料</w:t>
      </w:r>
      <w:r>
        <w:rPr>
          <w:rFonts w:hint="eastAsia" w:ascii="Times New Roman" w:hAnsi="Times New Roman" w:eastAsia="仿宋_GB2312" w:cs="仿宋_GB2312"/>
          <w:color w:val="auto"/>
          <w:sz w:val="32"/>
          <w:szCs w:val="32"/>
          <w:lang w:eastAsia="zh-CN" w:bidi="ar"/>
        </w:rPr>
        <w:t>；</w:t>
      </w:r>
    </w:p>
    <w:p>
      <w:pPr>
        <w:pStyle w:val="5"/>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bidi="ar"/>
        </w:rPr>
        <w:t>医疗机构内部平面图、地理位置示意</w:t>
      </w:r>
      <w:r>
        <w:rPr>
          <w:rFonts w:hint="eastAsia" w:ascii="Times New Roman" w:hAnsi="Times New Roman" w:eastAsia="仿宋_GB2312" w:cs="仿宋_GB2312"/>
          <w:color w:val="auto"/>
          <w:kern w:val="0"/>
          <w:sz w:val="32"/>
          <w:szCs w:val="32"/>
          <w:lang w:eastAsia="zh-CN" w:bidi="ar"/>
        </w:rPr>
        <w:t>图、</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房屋产权证复印件或租赁合同复印件</w:t>
      </w:r>
      <w:r>
        <w:rPr>
          <w:rFonts w:hint="eastAsia" w:ascii="Times New Roman" w:hAnsi="Times New Roman" w:eastAsia="仿宋_GB2312" w:cs="仿宋_GB2312"/>
          <w:color w:val="auto"/>
          <w:kern w:val="0"/>
          <w:sz w:val="32"/>
          <w:szCs w:val="32"/>
          <w:lang w:eastAsia="zh-CN" w:bidi="ar"/>
        </w:rPr>
        <w:t>；</w:t>
      </w:r>
    </w:p>
    <w:p>
      <w:pPr>
        <w:pStyle w:val="5"/>
        <w:pageBreakBefore w:val="0"/>
        <w:widowControl/>
        <w:shd w:val="clear" w:color="auto" w:fill="auto"/>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（11）</w:t>
      </w:r>
      <w:r>
        <w:rPr>
          <w:rFonts w:hint="eastAsia" w:ascii="Times New Roman" w:hAnsi="Times New Roman" w:eastAsia="仿宋_GB2312" w:cs="仿宋_GB2312"/>
          <w:color w:val="auto"/>
          <w:kern w:val="0"/>
          <w:sz w:val="32"/>
          <w:szCs w:val="32"/>
          <w:lang w:bidi="ar"/>
        </w:rPr>
        <w:t>开业以来（近一年）业务收支情况和门诊服务量（包括门诊</w:t>
      </w:r>
      <w:r>
        <w:rPr>
          <w:rFonts w:hint="eastAsia" w:ascii="Times New Roman" w:hAnsi="Times New Roman" w:eastAsia="仿宋_GB2312" w:cs="仿宋_GB2312"/>
          <w:color w:val="auto"/>
          <w:kern w:val="0"/>
          <w:sz w:val="32"/>
          <w:szCs w:val="32"/>
          <w:lang w:val="en-US" w:eastAsia="zh-CN" w:bidi="ar"/>
        </w:rPr>
        <w:t>处方、门诊</w:t>
      </w:r>
      <w:r>
        <w:rPr>
          <w:rFonts w:hint="eastAsia" w:ascii="Times New Roman" w:hAnsi="Times New Roman" w:eastAsia="仿宋_GB2312" w:cs="仿宋_GB2312"/>
          <w:color w:val="auto"/>
          <w:kern w:val="0"/>
          <w:sz w:val="32"/>
          <w:szCs w:val="32"/>
          <w:lang w:bidi="ar"/>
        </w:rPr>
        <w:t>人次、次均门诊费用等）、住院服务量（包括</w:t>
      </w:r>
      <w:r>
        <w:rPr>
          <w:rFonts w:hint="eastAsia" w:ascii="Times New Roman" w:hAnsi="Times New Roman" w:eastAsia="仿宋_GB2312" w:cs="仿宋_GB2312"/>
          <w:color w:val="auto"/>
          <w:kern w:val="0"/>
          <w:sz w:val="32"/>
          <w:szCs w:val="32"/>
          <w:lang w:val="en-US" w:eastAsia="zh-CN" w:bidi="ar"/>
        </w:rPr>
        <w:t>病历、</w:t>
      </w:r>
      <w:r>
        <w:rPr>
          <w:rFonts w:hint="eastAsia" w:ascii="Times New Roman" w:hAnsi="Times New Roman" w:eastAsia="仿宋_GB2312" w:cs="仿宋_GB2312"/>
          <w:color w:val="auto"/>
          <w:kern w:val="0"/>
          <w:sz w:val="32"/>
          <w:szCs w:val="32"/>
          <w:lang w:bidi="ar"/>
        </w:rPr>
        <w:t>住院人</w:t>
      </w:r>
      <w:r>
        <w:rPr>
          <w:rFonts w:hint="eastAsia" w:ascii="Times New Roman" w:hAnsi="Times New Roman" w:eastAsia="仿宋_GB2312" w:cs="仿宋_GB2312"/>
          <w:color w:val="auto"/>
          <w:kern w:val="0"/>
          <w:sz w:val="32"/>
          <w:szCs w:val="32"/>
          <w:lang w:eastAsia="zh-CN" w:bidi="ar"/>
        </w:rPr>
        <w:t>次</w:t>
      </w:r>
      <w:r>
        <w:rPr>
          <w:rFonts w:hint="eastAsia" w:ascii="Times New Roman" w:hAnsi="Times New Roman" w:eastAsia="仿宋_GB2312" w:cs="仿宋_GB2312"/>
          <w:color w:val="auto"/>
          <w:kern w:val="0"/>
          <w:sz w:val="32"/>
          <w:szCs w:val="32"/>
          <w:lang w:bidi="ar"/>
        </w:rPr>
        <w:t>、平均住院日、次均住院费用等），以及可承担医疗保障服务的能力证明材料</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（12）</w:t>
      </w:r>
      <w:r>
        <w:rPr>
          <w:rFonts w:hint="eastAsia" w:ascii="Times New Roman" w:hAnsi="Times New Roman" w:eastAsia="仿宋_GB2312" w:cs="仿宋_GB2312"/>
          <w:color w:val="auto"/>
          <w:kern w:val="0"/>
          <w:sz w:val="32"/>
          <w:szCs w:val="32"/>
          <w:lang w:bidi="ar"/>
        </w:rPr>
        <w:t>纳入定点后对医保基金影响的预测性分析报告</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（13）</w:t>
      </w:r>
      <w:r>
        <w:rPr>
          <w:rFonts w:hint="eastAsia" w:ascii="Times New Roman" w:hAnsi="Times New Roman" w:eastAsia="仿宋_GB2312" w:cs="仿宋_GB2312"/>
          <w:color w:val="auto"/>
          <w:kern w:val="0"/>
          <w:sz w:val="32"/>
          <w:szCs w:val="32"/>
          <w:lang w:bidi="ar"/>
        </w:rPr>
        <w:t>法定代表人、主要负责人身份证复印件</w:t>
      </w:r>
      <w:r>
        <w:rPr>
          <w:rFonts w:hint="eastAsia" w:ascii="Times New Roman" w:hAnsi="Times New Roman" w:eastAsia="仿宋_GB2312" w:cs="仿宋_GB2312"/>
          <w:color w:val="auto"/>
          <w:kern w:val="0"/>
          <w:sz w:val="32"/>
          <w:szCs w:val="32"/>
          <w:lang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（14）</w:t>
      </w:r>
      <w:r>
        <w:rPr>
          <w:rFonts w:hint="eastAsia" w:ascii="Times New Roman" w:hAnsi="Times New Roman" w:eastAsia="仿宋_GB2312" w:cs="仿宋_GB2312"/>
          <w:color w:val="auto"/>
          <w:kern w:val="0"/>
          <w:sz w:val="32"/>
          <w:szCs w:val="32"/>
          <w:lang w:bidi="ar"/>
        </w:rPr>
        <w:t>材料真实性承诺书及自评相关佐证材料</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000000"/>
          <w:spacing w:val="0"/>
          <w:w w:val="100"/>
          <w:kern w:val="0"/>
          <w:position w:val="0"/>
          <w:sz w:val="32"/>
          <w:szCs w:val="32"/>
          <w:shd w:val="clear" w:color="auto" w:fill="auto"/>
          <w:lang w:val="en-US" w:eastAsia="zh-CN" w:bidi="ar"/>
        </w:rPr>
        <w:t>按照自评表中的评分项目顺序依次排列</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w:t>
      </w:r>
    </w:p>
    <w:p>
      <w:pPr>
        <w:pageBreakBefore w:val="0"/>
        <w:widowControl/>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auto"/>
          <w:kern w:val="0"/>
          <w:sz w:val="32"/>
          <w:szCs w:val="32"/>
          <w:lang w:val="en-US" w:eastAsia="zh-CN" w:bidi="ar"/>
        </w:rPr>
        <w:t>（15）</w:t>
      </w:r>
      <w:r>
        <w:rPr>
          <w:rFonts w:hint="eastAsia" w:ascii="Times New Roman" w:hAnsi="Times New Roman" w:eastAsia="仿宋_GB2312" w:cs="仿宋_GB2312"/>
          <w:color w:val="auto"/>
          <w:kern w:val="0"/>
          <w:sz w:val="32"/>
          <w:szCs w:val="32"/>
          <w:lang w:bidi="ar"/>
        </w:rPr>
        <w:t>国家、省、市医疗保障部门规定要求的其他材料。</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b w:val="0"/>
          <w:bCs w:val="0"/>
          <w:color w:val="auto"/>
          <w:sz w:val="32"/>
          <w:szCs w:val="32"/>
          <w:lang w:eastAsia="zh-CN" w:bidi="ar"/>
        </w:rPr>
      </w:pPr>
      <w:r>
        <w:rPr>
          <w:rFonts w:hint="eastAsia" w:ascii="Times New Roman" w:hAnsi="Times New Roman" w:eastAsia="仿宋_GB2312" w:cs="仿宋_GB2312"/>
          <w:b w:val="0"/>
          <w:bCs w:val="0"/>
          <w:color w:val="auto"/>
          <w:kern w:val="0"/>
          <w:sz w:val="32"/>
          <w:szCs w:val="32"/>
          <w:lang w:val="en-US" w:eastAsia="zh-CN" w:bidi="ar"/>
        </w:rPr>
        <w:t>2.</w:t>
      </w:r>
      <w:r>
        <w:rPr>
          <w:rFonts w:hint="eastAsia" w:ascii="Times New Roman" w:hAnsi="Times New Roman" w:eastAsia="仿宋_GB2312" w:cs="仿宋_GB2312"/>
          <w:b w:val="0"/>
          <w:bCs w:val="0"/>
          <w:color w:val="auto"/>
          <w:kern w:val="0"/>
          <w:sz w:val="32"/>
          <w:szCs w:val="32"/>
          <w:lang w:bidi="ar"/>
        </w:rPr>
        <w:t>定点零售药店</w:t>
      </w:r>
      <w:r>
        <w:rPr>
          <w:rFonts w:hint="eastAsia" w:ascii="Times New Roman" w:hAnsi="Times New Roman" w:eastAsia="仿宋_GB2312" w:cs="仿宋_GB2312"/>
          <w:b w:val="0"/>
          <w:bCs w:val="0"/>
          <w:color w:val="auto"/>
          <w:kern w:val="0"/>
          <w:sz w:val="32"/>
          <w:szCs w:val="32"/>
          <w:lang w:eastAsia="zh-CN" w:bidi="ar"/>
        </w:rPr>
        <w:t>准入申请</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w:t>
      </w:r>
      <w:r>
        <w:rPr>
          <w:rFonts w:hint="eastAsia" w:ascii="Times New Roman" w:hAnsi="Times New Roman" w:eastAsia="仿宋_GB2312" w:cs="仿宋_GB2312"/>
          <w:color w:val="auto"/>
          <w:kern w:val="0"/>
          <w:sz w:val="32"/>
          <w:szCs w:val="32"/>
          <w:lang w:eastAsia="zh-CN" w:bidi="ar"/>
        </w:rPr>
        <w:t>《赣州市医疗保障</w:t>
      </w:r>
      <w:r>
        <w:rPr>
          <w:rFonts w:hint="eastAsia" w:ascii="Times New Roman" w:hAnsi="Times New Roman" w:eastAsia="仿宋_GB2312" w:cs="仿宋_GB2312"/>
          <w:color w:val="auto"/>
          <w:kern w:val="0"/>
          <w:sz w:val="32"/>
          <w:szCs w:val="32"/>
          <w:lang w:bidi="ar"/>
        </w:rPr>
        <w:t>定点</w:t>
      </w:r>
      <w:r>
        <w:rPr>
          <w:rFonts w:hint="eastAsia" w:ascii="Times New Roman" w:hAnsi="Times New Roman" w:eastAsia="仿宋_GB2312" w:cs="仿宋_GB2312"/>
          <w:color w:val="auto"/>
          <w:kern w:val="0"/>
          <w:sz w:val="32"/>
          <w:szCs w:val="32"/>
          <w:lang w:eastAsia="zh-CN" w:bidi="ar"/>
        </w:rPr>
        <w:t>零售药店</w:t>
      </w:r>
      <w:r>
        <w:rPr>
          <w:rFonts w:hint="eastAsia" w:ascii="Times New Roman" w:hAnsi="Times New Roman" w:eastAsia="仿宋_GB2312" w:cs="仿宋_GB2312"/>
          <w:color w:val="auto"/>
          <w:kern w:val="0"/>
          <w:sz w:val="32"/>
          <w:szCs w:val="32"/>
          <w:lang w:bidi="ar"/>
        </w:rPr>
        <w:t>申请表</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_GB2312" w:cs="仿宋_GB2312"/>
          <w:color w:val="auto"/>
          <w:kern w:val="0"/>
          <w:sz w:val="32"/>
          <w:szCs w:val="32"/>
          <w:lang w:val="en-US" w:eastAsia="zh-CN" w:bidi="ar"/>
        </w:rPr>
      </w:pPr>
      <w:r>
        <w:rPr>
          <w:rFonts w:hint="eastAsia" w:ascii="Times New Roman" w:hAnsi="Times New Roman" w:eastAsia="仿宋_GB2312" w:cs="仿宋_GB2312"/>
          <w:color w:val="auto"/>
          <w:kern w:val="0"/>
          <w:sz w:val="32"/>
          <w:szCs w:val="32"/>
          <w:lang w:val="en-US" w:eastAsia="zh-CN" w:bidi="ar"/>
        </w:rPr>
        <w:t>（2）《赣州市医疗保障定点零售药店综合评估表》（自评得分）；</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（3）</w:t>
      </w:r>
      <w:r>
        <w:rPr>
          <w:rFonts w:hint="eastAsia" w:ascii="Times New Roman" w:hAnsi="Times New Roman" w:eastAsia="仿宋_GB2312" w:cs="仿宋_GB2312"/>
          <w:color w:val="auto"/>
          <w:kern w:val="0"/>
          <w:sz w:val="32"/>
          <w:szCs w:val="32"/>
          <w:lang w:bidi="ar"/>
        </w:rPr>
        <w:t>《药品经营许可证》</w:t>
      </w:r>
      <w:r>
        <w:rPr>
          <w:rFonts w:hint="eastAsia" w:ascii="Times New Roman" w:hAnsi="Times New Roman" w:eastAsia="仿宋_GB2312" w:cs="仿宋_GB2312"/>
          <w:color w:val="auto"/>
          <w:kern w:val="0"/>
          <w:sz w:val="32"/>
          <w:szCs w:val="32"/>
          <w:lang w:eastAsia="zh-CN" w:bidi="ar"/>
        </w:rPr>
        <w:t>正本复印件和副本复印件，</w:t>
      </w:r>
      <w:r>
        <w:rPr>
          <w:rFonts w:hint="eastAsia" w:ascii="Times New Roman" w:hAnsi="Times New Roman" w:eastAsia="仿宋_GB2312" w:cs="仿宋_GB2312"/>
          <w:color w:val="auto"/>
          <w:kern w:val="0"/>
          <w:sz w:val="32"/>
          <w:szCs w:val="32"/>
          <w:lang w:bidi="ar"/>
        </w:rPr>
        <w:t>《营业执照》复印件</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（4）</w:t>
      </w:r>
      <w:r>
        <w:rPr>
          <w:rFonts w:hint="eastAsia" w:ascii="Times New Roman" w:hAnsi="Times New Roman" w:eastAsia="仿宋_GB2312" w:cs="仿宋_GB2312"/>
          <w:color w:val="auto"/>
          <w:kern w:val="0"/>
          <w:sz w:val="32"/>
          <w:szCs w:val="32"/>
          <w:lang w:bidi="ar"/>
        </w:rPr>
        <w:t>药师以上药学技术人员的职称证明材料</w:t>
      </w:r>
      <w:r>
        <w:rPr>
          <w:rFonts w:hint="eastAsia" w:ascii="Times New Roman" w:hAnsi="Times New Roman" w:eastAsia="仿宋_GB2312" w:cs="仿宋_GB2312"/>
          <w:color w:val="auto"/>
          <w:kern w:val="0"/>
          <w:sz w:val="32"/>
          <w:szCs w:val="32"/>
          <w:lang w:eastAsia="zh-CN" w:bidi="ar"/>
        </w:rPr>
        <w:t>；</w:t>
      </w:r>
    </w:p>
    <w:p>
      <w:pPr>
        <w:pStyle w:val="5"/>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（5）</w:t>
      </w:r>
      <w:r>
        <w:rPr>
          <w:rFonts w:hint="eastAsia" w:ascii="Times New Roman" w:hAnsi="Times New Roman" w:eastAsia="仿宋_GB2312" w:cs="仿宋_GB2312"/>
          <w:color w:val="auto"/>
          <w:sz w:val="32"/>
          <w:szCs w:val="32"/>
          <w:lang w:bidi="ar"/>
        </w:rPr>
        <w:t>职工</w:t>
      </w:r>
      <w:r>
        <w:rPr>
          <w:rFonts w:hint="eastAsia" w:ascii="Times New Roman" w:hAnsi="Times New Roman" w:eastAsia="仿宋_GB2312" w:cs="仿宋_GB2312"/>
          <w:color w:val="auto"/>
          <w:sz w:val="32"/>
          <w:szCs w:val="32"/>
          <w:lang w:eastAsia="zh-CN" w:bidi="ar"/>
        </w:rPr>
        <w:t>花名册、</w:t>
      </w:r>
      <w:r>
        <w:rPr>
          <w:rFonts w:hint="eastAsia" w:ascii="Times New Roman" w:hAnsi="Times New Roman" w:eastAsia="仿宋_GB2312" w:cs="仿宋_GB2312"/>
          <w:color w:val="auto"/>
          <w:sz w:val="32"/>
          <w:szCs w:val="32"/>
          <w:lang w:val="en-US" w:eastAsia="zh-CN" w:bidi="ar"/>
        </w:rPr>
        <w:t>工资表、</w:t>
      </w:r>
      <w:r>
        <w:rPr>
          <w:rFonts w:hint="eastAsia" w:ascii="Times New Roman" w:hAnsi="Times New Roman" w:eastAsia="仿宋_GB2312" w:cs="仿宋_GB2312"/>
          <w:color w:val="auto"/>
          <w:sz w:val="32"/>
          <w:szCs w:val="32"/>
          <w:lang w:eastAsia="zh-CN" w:bidi="ar"/>
        </w:rPr>
        <w:t>职工</w:t>
      </w:r>
      <w:r>
        <w:rPr>
          <w:rFonts w:hint="eastAsia" w:ascii="Times New Roman" w:hAnsi="Times New Roman" w:eastAsia="仿宋_GB2312" w:cs="仿宋_GB2312"/>
          <w:color w:val="auto"/>
          <w:sz w:val="32"/>
          <w:szCs w:val="32"/>
          <w:lang w:bidi="ar"/>
        </w:rPr>
        <w:t>参加</w:t>
      </w:r>
      <w:r>
        <w:rPr>
          <w:rFonts w:hint="eastAsia" w:ascii="Times New Roman" w:hAnsi="Times New Roman" w:eastAsia="仿宋_GB2312" w:cs="仿宋_GB2312"/>
          <w:color w:val="auto"/>
          <w:sz w:val="32"/>
          <w:szCs w:val="32"/>
          <w:lang w:eastAsia="zh-CN" w:bidi="ar"/>
        </w:rPr>
        <w:t>医疗</w:t>
      </w:r>
      <w:r>
        <w:rPr>
          <w:rFonts w:hint="eastAsia" w:ascii="Times New Roman" w:hAnsi="Times New Roman" w:eastAsia="仿宋_GB2312" w:cs="仿宋_GB2312"/>
          <w:color w:val="auto"/>
          <w:sz w:val="32"/>
          <w:szCs w:val="32"/>
          <w:lang w:bidi="ar"/>
        </w:rPr>
        <w:t>保险证明材料</w:t>
      </w:r>
      <w:r>
        <w:rPr>
          <w:rFonts w:hint="eastAsia" w:ascii="Times New Roman" w:hAnsi="Times New Roman" w:eastAsia="仿宋_GB2312" w:cs="仿宋_GB2312"/>
          <w:color w:val="auto"/>
          <w:sz w:val="32"/>
          <w:szCs w:val="32"/>
          <w:lang w:eastAsia="zh-CN" w:bidi="ar"/>
        </w:rPr>
        <w:t>和</w:t>
      </w:r>
      <w:r>
        <w:rPr>
          <w:rFonts w:hint="eastAsia" w:ascii="Times New Roman" w:hAnsi="Times New Roman" w:eastAsia="仿宋_GB2312" w:cs="仿宋_GB2312"/>
          <w:color w:val="auto"/>
          <w:sz w:val="32"/>
          <w:szCs w:val="32"/>
          <w:lang w:bidi="ar"/>
        </w:rPr>
        <w:t>劳动合同复印件</w:t>
      </w:r>
      <w:r>
        <w:rPr>
          <w:rFonts w:hint="eastAsia" w:ascii="Times New Roman" w:hAnsi="Times New Roman" w:eastAsia="仿宋_GB2312" w:cs="仿宋_GB2312"/>
          <w:color w:val="auto"/>
          <w:sz w:val="32"/>
          <w:szCs w:val="32"/>
          <w:lang w:eastAsia="zh-CN" w:bidi="ar"/>
        </w:rPr>
        <w:t>；</w:t>
      </w:r>
    </w:p>
    <w:p>
      <w:pPr>
        <w:pStyle w:val="5"/>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（6）</w:t>
      </w:r>
      <w:r>
        <w:rPr>
          <w:rFonts w:hint="eastAsia" w:ascii="Times New Roman" w:hAnsi="Times New Roman" w:eastAsia="仿宋_GB2312" w:cs="仿宋_GB2312"/>
          <w:color w:val="auto"/>
          <w:sz w:val="32"/>
          <w:szCs w:val="32"/>
          <w:lang w:bidi="ar"/>
        </w:rPr>
        <w:t>与医疗保障政策对应的内部管理制度和财务制度等</w:t>
      </w:r>
      <w:r>
        <w:rPr>
          <w:rFonts w:hint="eastAsia" w:ascii="Times New Roman" w:hAnsi="Times New Roman" w:eastAsia="仿宋_GB2312" w:cs="仿宋_GB2312"/>
          <w:color w:val="auto"/>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（7）</w:t>
      </w:r>
      <w:r>
        <w:rPr>
          <w:rFonts w:hint="eastAsia" w:ascii="Times New Roman" w:hAnsi="Times New Roman" w:eastAsia="仿宋_GB2312" w:cs="仿宋_GB2312"/>
          <w:color w:val="auto"/>
          <w:kern w:val="0"/>
          <w:sz w:val="32"/>
          <w:szCs w:val="32"/>
          <w:lang w:bidi="ar"/>
        </w:rPr>
        <w:t>与医疗保障有关的信息系统相关材料</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（8）</w:t>
      </w:r>
      <w:r>
        <w:rPr>
          <w:rFonts w:hint="eastAsia" w:ascii="Times New Roman" w:hAnsi="Times New Roman" w:eastAsia="仿宋_GB2312" w:cs="仿宋_GB2312"/>
          <w:color w:val="auto"/>
          <w:kern w:val="0"/>
          <w:sz w:val="32"/>
          <w:szCs w:val="32"/>
          <w:lang w:bidi="ar"/>
        </w:rPr>
        <w:t>药店内部平面图、地理位置示意图</w:t>
      </w:r>
      <w:r>
        <w:rPr>
          <w:rFonts w:hint="eastAsia" w:ascii="Times New Roman" w:hAnsi="Times New Roman" w:eastAsia="仿宋_GB2312" w:cs="仿宋_GB2312"/>
          <w:color w:val="auto"/>
          <w:kern w:val="0"/>
          <w:sz w:val="32"/>
          <w:szCs w:val="32"/>
          <w:lang w:eastAsia="zh-CN" w:bidi="ar"/>
        </w:rPr>
        <w:t>、房屋产权复印件或租赁合同复印件；</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kern w:val="0"/>
          <w:sz w:val="32"/>
          <w:szCs w:val="32"/>
          <w:lang w:val="en-US" w:eastAsia="zh-CN" w:bidi="ar"/>
        </w:rPr>
        <w:t>（9）</w:t>
      </w:r>
      <w:r>
        <w:rPr>
          <w:rFonts w:hint="eastAsia" w:ascii="Times New Roman" w:hAnsi="Times New Roman" w:eastAsia="仿宋_GB2312" w:cs="仿宋_GB2312"/>
          <w:color w:val="auto"/>
          <w:kern w:val="0"/>
          <w:sz w:val="32"/>
          <w:szCs w:val="32"/>
          <w:lang w:bidi="ar"/>
        </w:rPr>
        <w:t>药品经营品种清单</w:t>
      </w:r>
      <w:r>
        <w:rPr>
          <w:rFonts w:hint="eastAsia" w:ascii="Times New Roman" w:hAnsi="Times New Roman" w:eastAsia="仿宋_GB2312" w:cs="仿宋_GB2312"/>
          <w:color w:val="auto"/>
          <w:kern w:val="0"/>
          <w:sz w:val="32"/>
          <w:szCs w:val="32"/>
          <w:lang w:eastAsia="zh-CN" w:bidi="ar"/>
        </w:rPr>
        <w:t>及价格清单，</w:t>
      </w:r>
      <w:r>
        <w:rPr>
          <w:rFonts w:hint="eastAsia" w:ascii="Times New Roman" w:hAnsi="Times New Roman" w:eastAsia="仿宋_GB2312" w:cs="仿宋_GB2312"/>
          <w:color w:val="auto"/>
          <w:kern w:val="0"/>
          <w:sz w:val="32"/>
          <w:szCs w:val="32"/>
          <w:lang w:bidi="ar"/>
        </w:rPr>
        <w:t>收费标准及开业以来（近一年）业务收支情况</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（10）</w:t>
      </w:r>
      <w:r>
        <w:rPr>
          <w:rFonts w:hint="eastAsia" w:ascii="Times New Roman" w:hAnsi="Times New Roman" w:eastAsia="仿宋_GB2312" w:cs="仿宋_GB2312"/>
          <w:color w:val="auto"/>
          <w:kern w:val="0"/>
          <w:sz w:val="32"/>
          <w:szCs w:val="32"/>
          <w:lang w:bidi="ar"/>
        </w:rPr>
        <w:t>纳入定点后对医保基金影响的预测性分析报告</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eastAsia="zh-CN" w:bidi="ar"/>
        </w:rPr>
      </w:pPr>
      <w:r>
        <w:rPr>
          <w:rFonts w:hint="eastAsia" w:ascii="Times New Roman" w:hAnsi="Times New Roman" w:eastAsia="仿宋_GB2312" w:cs="仿宋_GB2312"/>
          <w:color w:val="auto"/>
          <w:kern w:val="0"/>
          <w:sz w:val="32"/>
          <w:szCs w:val="32"/>
          <w:lang w:val="en-US" w:eastAsia="zh-CN" w:bidi="ar"/>
        </w:rPr>
        <w:t>（11）</w:t>
      </w:r>
      <w:r>
        <w:rPr>
          <w:rFonts w:hint="eastAsia" w:ascii="Times New Roman" w:hAnsi="Times New Roman" w:eastAsia="仿宋_GB2312" w:cs="仿宋_GB2312"/>
          <w:color w:val="auto"/>
          <w:kern w:val="0"/>
          <w:sz w:val="32"/>
          <w:szCs w:val="32"/>
          <w:lang w:bidi="ar"/>
        </w:rPr>
        <w:t>法定代表人、主要负责人身份证复印件</w:t>
      </w:r>
      <w:r>
        <w:rPr>
          <w:rFonts w:hint="eastAsia" w:ascii="Times New Roman" w:hAnsi="Times New Roman" w:eastAsia="仿宋_GB2312" w:cs="仿宋_GB2312"/>
          <w:color w:val="auto"/>
          <w:kern w:val="0"/>
          <w:sz w:val="32"/>
          <w:szCs w:val="32"/>
          <w:lang w:eastAsia="zh-CN" w:bidi="ar"/>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val="en-US" w:eastAsia="zh-CN" w:bidi="ar"/>
        </w:rPr>
        <w:t>（12）</w:t>
      </w:r>
      <w:r>
        <w:rPr>
          <w:rFonts w:hint="eastAsia" w:ascii="Times New Roman" w:hAnsi="Times New Roman" w:eastAsia="仿宋_GB2312" w:cs="仿宋_GB2312"/>
          <w:color w:val="auto"/>
          <w:kern w:val="0"/>
          <w:sz w:val="32"/>
          <w:szCs w:val="32"/>
          <w:lang w:bidi="ar"/>
        </w:rPr>
        <w:t>材料真实性承诺书及自评相关佐证材料</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按照自评表中的评分项目顺序依次排列；</w:t>
      </w:r>
    </w:p>
    <w:p>
      <w:pPr>
        <w:pageBreakBefore w:val="0"/>
        <w:widowControl/>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Times New Roman" w:hAnsi="Times New Roman" w:eastAsia="仿宋_GB2312" w:cs="仿宋_GB2312"/>
          <w:color w:val="auto"/>
          <w:spacing w:val="0"/>
          <w:w w:val="100"/>
          <w:position w:val="0"/>
          <w:sz w:val="32"/>
          <w:szCs w:val="32"/>
          <w:lang w:eastAsia="zh-CN"/>
        </w:rPr>
      </w:pPr>
      <w:r>
        <w:rPr>
          <w:rFonts w:hint="eastAsia" w:ascii="Times New Roman" w:hAnsi="Times New Roman" w:eastAsia="仿宋_GB2312" w:cs="仿宋_GB2312"/>
          <w:color w:val="auto"/>
          <w:kern w:val="0"/>
          <w:sz w:val="32"/>
          <w:szCs w:val="32"/>
          <w:lang w:val="en-US" w:eastAsia="zh-CN" w:bidi="ar"/>
        </w:rPr>
        <w:t>（13）</w:t>
      </w:r>
      <w:r>
        <w:rPr>
          <w:rFonts w:hint="eastAsia" w:ascii="Times New Roman" w:hAnsi="Times New Roman" w:eastAsia="仿宋_GB2312" w:cs="仿宋_GB2312"/>
          <w:color w:val="auto"/>
          <w:kern w:val="0"/>
          <w:sz w:val="32"/>
          <w:szCs w:val="32"/>
          <w:lang w:bidi="ar"/>
        </w:rPr>
        <w:t>国家、省、市医疗保障部门规定要求的其他材料。</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Times New Roman" w:hAnsi="Times New Roman" w:eastAsia="仿宋_GB2312" w:cs="仿宋_GB2312"/>
          <w:color w:val="auto"/>
          <w:sz w:val="32"/>
          <w:szCs w:val="32"/>
          <w:lang w:bidi="ar"/>
        </w:rPr>
      </w:pPr>
      <w:r>
        <w:rPr>
          <w:rFonts w:hint="eastAsia" w:ascii="Times New Roman" w:hAnsi="Times New Roman" w:eastAsia="仿宋_GB2312" w:cs="仿宋_GB2312"/>
          <w:color w:val="000000"/>
          <w:spacing w:val="0"/>
          <w:w w:val="100"/>
          <w:kern w:val="0"/>
          <w:position w:val="0"/>
          <w:sz w:val="32"/>
          <w:szCs w:val="32"/>
          <w:shd w:val="clear" w:color="auto" w:fill="auto"/>
          <w:lang w:val="en-US" w:eastAsia="zh-CN" w:bidi="ar"/>
        </w:rPr>
        <w:t>注:</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各医保经办机构负责收集医药机构申报材料的电子版以及纸质版，纸质版材料统一按《赣州市医疗保障定点医疗机构综合评估表》、《赣州市医疗保障定点零售药店综合评估表》评分项目顺序（页码）逐项排列并保证字体清晰，装订成册并加盖公章（封面章及骑缝章），</w:t>
      </w:r>
      <w:r>
        <w:rPr>
          <w:rFonts w:hint="eastAsia" w:ascii="Times New Roman" w:hAnsi="Times New Roman" w:eastAsia="仿宋_GB2312" w:cs="仿宋_GB2312"/>
          <w:i w:val="0"/>
          <w:iCs w:val="0"/>
          <w:caps w:val="0"/>
          <w:color w:val="auto"/>
          <w:spacing w:val="0"/>
          <w:sz w:val="32"/>
          <w:szCs w:val="32"/>
          <w:shd w:val="clear" w:fill="auto"/>
          <w:lang w:bidi="ar"/>
        </w:rPr>
        <w:t>所有材料涉及的时间节点</w:t>
      </w:r>
      <w:r>
        <w:rPr>
          <w:rFonts w:hint="eastAsia" w:ascii="Times New Roman" w:hAnsi="Times New Roman" w:eastAsia="仿宋_GB2312" w:cs="仿宋_GB2312"/>
          <w:i w:val="0"/>
          <w:iCs w:val="0"/>
          <w:caps w:val="0"/>
          <w:color w:val="auto"/>
          <w:spacing w:val="0"/>
          <w:sz w:val="32"/>
          <w:szCs w:val="32"/>
          <w:shd w:val="clear" w:fill="auto"/>
          <w:lang w:eastAsia="zh-CN" w:bidi="ar"/>
        </w:rPr>
        <w:t>截至</w:t>
      </w:r>
      <w:r>
        <w:rPr>
          <w:rFonts w:hint="eastAsia" w:ascii="Times New Roman" w:hAnsi="Times New Roman" w:eastAsia="仿宋_GB2312" w:cs="仿宋_GB2312"/>
          <w:i w:val="0"/>
          <w:iCs w:val="0"/>
          <w:caps w:val="0"/>
          <w:color w:val="auto"/>
          <w:spacing w:val="0"/>
          <w:sz w:val="32"/>
          <w:szCs w:val="32"/>
          <w:shd w:val="clear" w:fill="auto"/>
          <w:lang w:bidi="ar"/>
        </w:rPr>
        <w:t>2021年</w:t>
      </w:r>
      <w:r>
        <w:rPr>
          <w:rFonts w:hint="eastAsia" w:ascii="Times New Roman" w:hAnsi="Times New Roman" w:eastAsia="仿宋_GB2312" w:cs="仿宋_GB2312"/>
          <w:i w:val="0"/>
          <w:iCs w:val="0"/>
          <w:caps w:val="0"/>
          <w:color w:val="auto"/>
          <w:spacing w:val="0"/>
          <w:sz w:val="32"/>
          <w:szCs w:val="32"/>
          <w:shd w:val="clear" w:fill="auto"/>
          <w:lang w:val="en-US" w:eastAsia="zh-CN" w:bidi="ar"/>
        </w:rPr>
        <w:t>7</w:t>
      </w:r>
      <w:r>
        <w:rPr>
          <w:rFonts w:hint="eastAsia" w:ascii="Times New Roman" w:hAnsi="Times New Roman" w:eastAsia="仿宋_GB2312" w:cs="仿宋_GB2312"/>
          <w:i w:val="0"/>
          <w:iCs w:val="0"/>
          <w:caps w:val="0"/>
          <w:color w:val="auto"/>
          <w:spacing w:val="0"/>
          <w:sz w:val="32"/>
          <w:szCs w:val="32"/>
          <w:shd w:val="clear" w:fill="auto"/>
          <w:lang w:bidi="ar"/>
        </w:rPr>
        <w:t>月</w:t>
      </w:r>
      <w:r>
        <w:rPr>
          <w:rFonts w:hint="eastAsia" w:ascii="Times New Roman" w:hAnsi="Times New Roman" w:eastAsia="仿宋_GB2312" w:cs="仿宋_GB2312"/>
          <w:i w:val="0"/>
          <w:iCs w:val="0"/>
          <w:caps w:val="0"/>
          <w:color w:val="auto"/>
          <w:spacing w:val="0"/>
          <w:sz w:val="32"/>
          <w:szCs w:val="32"/>
          <w:shd w:val="clear" w:fill="auto"/>
          <w:lang w:val="en-US" w:eastAsia="zh-CN" w:bidi="ar"/>
        </w:rPr>
        <w:t>10</w:t>
      </w:r>
      <w:r>
        <w:rPr>
          <w:rFonts w:hint="eastAsia" w:ascii="Times New Roman" w:hAnsi="Times New Roman" w:eastAsia="仿宋_GB2312" w:cs="仿宋_GB2312"/>
          <w:i w:val="0"/>
          <w:iCs w:val="0"/>
          <w:caps w:val="0"/>
          <w:color w:val="auto"/>
          <w:spacing w:val="0"/>
          <w:sz w:val="32"/>
          <w:szCs w:val="32"/>
          <w:shd w:val="clear" w:fill="auto"/>
          <w:lang w:bidi="ar"/>
        </w:rPr>
        <w:t>日</w:t>
      </w:r>
      <w:r>
        <w:rPr>
          <w:rFonts w:hint="eastAsia" w:ascii="Times New Roman" w:hAnsi="Times New Roman" w:eastAsia="仿宋_GB2312" w:cs="仿宋_GB2312"/>
          <w:i w:val="0"/>
          <w:iCs w:val="0"/>
          <w:caps w:val="0"/>
          <w:color w:val="auto"/>
          <w:spacing w:val="0"/>
          <w:sz w:val="32"/>
          <w:szCs w:val="32"/>
          <w:shd w:val="clear" w:fill="auto"/>
          <w:lang w:eastAsia="zh-CN" w:bidi="ar"/>
        </w:rPr>
        <w:t>，</w:t>
      </w:r>
      <w:r>
        <w:rPr>
          <w:rFonts w:hint="eastAsia" w:ascii="Times New Roman" w:hAnsi="Times New Roman" w:eastAsia="仿宋_GB2312" w:cs="仿宋_GB2312"/>
          <w:color w:val="auto"/>
          <w:spacing w:val="0"/>
          <w:w w:val="100"/>
          <w:kern w:val="0"/>
          <w:position w:val="0"/>
          <w:sz w:val="32"/>
          <w:szCs w:val="32"/>
          <w:shd w:val="clear" w:color="auto" w:fill="auto"/>
          <w:lang w:val="en-US" w:eastAsia="zh-CN" w:bidi="ar"/>
        </w:rPr>
        <w:t>每个医药机构装订一册。</w:t>
      </w:r>
    </w:p>
    <w:p>
      <w:pPr>
        <w:pStyle w:val="2"/>
        <w:pageBreakBefore w:val="0"/>
        <w:kinsoku/>
        <w:wordWrap/>
        <w:overflowPunct/>
        <w:topLinePunct w:val="0"/>
        <w:autoSpaceDE/>
        <w:autoSpaceDN/>
        <w:bidi w:val="0"/>
        <w:adjustRightInd/>
        <w:snapToGrid/>
        <w:spacing w:before="0" w:beforeLines="0" w:after="0" w:line="560" w:lineRule="exact"/>
        <w:ind w:left="0" w:leftChars="0" w:firstLine="643" w:firstLineChars="200"/>
        <w:jc w:val="both"/>
        <w:textAlignment w:val="auto"/>
        <w:rPr>
          <w:rFonts w:hint="eastAsia" w:ascii="楷体_GB2312" w:hAnsi="楷体_GB2312" w:eastAsia="楷体_GB2312" w:cs="楷体_GB2312"/>
          <w:b/>
          <w:bCs/>
          <w:color w:val="auto"/>
          <w:kern w:val="0"/>
          <w:sz w:val="32"/>
          <w:szCs w:val="32"/>
          <w:lang w:eastAsia="zh-CN" w:bidi="ar"/>
        </w:rPr>
      </w:pPr>
      <w:r>
        <w:rPr>
          <w:rFonts w:hint="eastAsia" w:ascii="楷体_GB2312" w:hAnsi="楷体_GB2312" w:eastAsia="楷体_GB2312" w:cs="楷体_GB2312"/>
          <w:b/>
          <w:bCs/>
          <w:color w:val="auto"/>
          <w:kern w:val="0"/>
          <w:sz w:val="32"/>
          <w:szCs w:val="32"/>
          <w:lang w:eastAsia="zh-CN" w:bidi="ar"/>
        </w:rPr>
        <w:t>（二）定点申报材料初审</w:t>
      </w:r>
    </w:p>
    <w:p>
      <w:pPr>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olor w:val="auto"/>
          <w:sz w:val="32"/>
          <w:lang w:val="en-US" w:eastAsia="zh-CN"/>
        </w:rPr>
      </w:pPr>
      <w:r>
        <w:rPr>
          <w:rFonts w:hint="eastAsia" w:ascii="Times New Roman" w:hAnsi="Times New Roman" w:eastAsia="仿宋_GB2312" w:cs="仿宋_GB2312"/>
          <w:color w:val="auto"/>
          <w:kern w:val="0"/>
          <w:sz w:val="32"/>
          <w:szCs w:val="32"/>
          <w:lang w:eastAsia="zh-CN" w:bidi="ar"/>
        </w:rPr>
        <w:t>各</w:t>
      </w:r>
      <w:r>
        <w:rPr>
          <w:rFonts w:hint="eastAsia" w:ascii="Times New Roman" w:hAnsi="Times New Roman" w:eastAsia="仿宋_GB2312" w:cs="仿宋_GB2312"/>
          <w:color w:val="auto"/>
          <w:kern w:val="0"/>
          <w:sz w:val="32"/>
          <w:szCs w:val="32"/>
          <w:lang w:bidi="ar"/>
        </w:rPr>
        <w:t>县（市、区）医疗保障经办机构根据医疗保障定点医药机构设置规划要求，对医药机构定点准入申请进行</w:t>
      </w:r>
      <w:r>
        <w:rPr>
          <w:rFonts w:hint="eastAsia" w:ascii="Times New Roman" w:hAnsi="Times New Roman" w:eastAsia="仿宋_GB2312" w:cs="仿宋_GB2312"/>
          <w:color w:val="auto"/>
          <w:kern w:val="0"/>
          <w:sz w:val="32"/>
          <w:szCs w:val="32"/>
          <w:lang w:eastAsia="zh-CN" w:bidi="ar"/>
        </w:rPr>
        <w:t>严格</w:t>
      </w:r>
      <w:r>
        <w:rPr>
          <w:rFonts w:hint="eastAsia" w:ascii="Times New Roman" w:hAnsi="Times New Roman" w:eastAsia="仿宋_GB2312" w:cs="仿宋_GB2312"/>
          <w:color w:val="auto"/>
          <w:kern w:val="0"/>
          <w:sz w:val="32"/>
          <w:szCs w:val="32"/>
          <w:lang w:bidi="ar"/>
        </w:rPr>
        <w:t>初审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资料不齐全的</w:t>
      </w:r>
      <w:r>
        <w:rPr>
          <w:rFonts w:ascii="Times New Roman" w:hAnsi="Times New Roman" w:eastAsia="仿宋_GB2312"/>
          <w:color w:val="auto"/>
          <w:sz w:val="32"/>
          <w:szCs w:val="32"/>
        </w:rPr>
        <w:t>应当自收到材料之日起5个工作日内一次性告知医</w:t>
      </w:r>
      <w:r>
        <w:rPr>
          <w:rFonts w:hint="eastAsia" w:ascii="Times New Roman" w:hAnsi="Times New Roman" w:eastAsia="仿宋_GB2312"/>
          <w:color w:val="auto"/>
          <w:sz w:val="32"/>
          <w:szCs w:val="32"/>
        </w:rPr>
        <w:t>药</w:t>
      </w:r>
      <w:r>
        <w:rPr>
          <w:rFonts w:ascii="Times New Roman" w:hAnsi="Times New Roman" w:eastAsia="仿宋_GB2312"/>
          <w:color w:val="auto"/>
          <w:sz w:val="32"/>
          <w:szCs w:val="32"/>
        </w:rPr>
        <w:t>机构补充材料</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医药机构在规定时间内按要求备齐材料</w:t>
      </w:r>
      <w:r>
        <w:rPr>
          <w:rFonts w:ascii="Times New Roman" w:hAnsi="Times New Roman" w:eastAsia="仿宋_GB2312"/>
          <w:b w:val="0"/>
          <w:bCs w:val="0"/>
          <w:color w:val="auto"/>
          <w:sz w:val="32"/>
          <w:szCs w:val="32"/>
        </w:rPr>
        <w:t>。</w:t>
      </w:r>
      <w:r>
        <w:rPr>
          <w:rFonts w:hint="eastAsia" w:ascii="Times New Roman" w:hAnsi="Times New Roman" w:eastAsia="仿宋_GB2312" w:cs="仿宋_GB2312"/>
          <w:b w:val="0"/>
          <w:bCs w:val="0"/>
          <w:color w:val="auto"/>
          <w:kern w:val="0"/>
          <w:sz w:val="32"/>
          <w:szCs w:val="32"/>
          <w:lang w:val="en-US" w:eastAsia="zh-CN" w:bidi="ar"/>
        </w:rPr>
        <w:t>属于一票否决的应现场退回并告知理由。</w:t>
      </w:r>
    </w:p>
    <w:p>
      <w:pPr>
        <w:pageBreakBefore w:val="0"/>
        <w:widowControl/>
        <w:numPr>
          <w:ilvl w:val="-1"/>
          <w:numId w:val="0"/>
        </w:numPr>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楷体_GB2312" w:hAnsi="楷体_GB2312" w:eastAsia="楷体_GB2312" w:cs="楷体_GB2312"/>
          <w:b/>
          <w:bCs/>
          <w:color w:val="auto"/>
          <w:spacing w:val="0"/>
          <w:w w:val="100"/>
          <w:position w:val="0"/>
          <w:sz w:val="32"/>
          <w:szCs w:val="32"/>
        </w:rPr>
      </w:pPr>
      <w:r>
        <w:rPr>
          <w:rFonts w:hint="eastAsia" w:ascii="Times New Roman" w:hAnsi="Times New Roman" w:eastAsia="仿宋_GB2312" w:cs="仿宋_GB2312"/>
          <w:color w:val="auto"/>
          <w:spacing w:val="0"/>
          <w:w w:val="100"/>
          <w:position w:val="0"/>
          <w:sz w:val="32"/>
          <w:szCs w:val="32"/>
          <w:lang w:val="en-US" w:eastAsia="zh-CN"/>
        </w:rPr>
        <w:t xml:space="preserve">    </w:t>
      </w:r>
      <w:r>
        <w:rPr>
          <w:rFonts w:hint="eastAsia" w:ascii="楷体_GB2312" w:hAnsi="楷体_GB2312" w:eastAsia="楷体_GB2312" w:cs="楷体_GB2312"/>
          <w:b/>
          <w:bCs/>
          <w:color w:val="auto"/>
          <w:spacing w:val="0"/>
          <w:w w:val="100"/>
          <w:position w:val="0"/>
          <w:sz w:val="32"/>
          <w:szCs w:val="32"/>
          <w:lang w:val="en-US" w:eastAsia="zh-CN"/>
        </w:rPr>
        <w:t>（三）</w:t>
      </w:r>
      <w:r>
        <w:rPr>
          <w:rFonts w:hint="eastAsia" w:ascii="楷体_GB2312" w:hAnsi="楷体_GB2312" w:eastAsia="楷体_GB2312" w:cs="楷体_GB2312"/>
          <w:b/>
          <w:bCs/>
          <w:color w:val="auto"/>
          <w:spacing w:val="0"/>
          <w:w w:val="100"/>
          <w:position w:val="0"/>
          <w:sz w:val="32"/>
          <w:szCs w:val="32"/>
          <w:lang w:eastAsia="zh-CN"/>
        </w:rPr>
        <w:t>集中开展评估</w:t>
      </w:r>
    </w:p>
    <w:p>
      <w:pPr>
        <w:pageBreakBefore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仿宋_GB2312"/>
          <w:color w:val="auto"/>
          <w:sz w:val="32"/>
          <w:highlight w:val="none"/>
          <w:lang w:val="en-US" w:eastAsia="zh-CN"/>
        </w:rPr>
      </w:pPr>
      <w:r>
        <w:rPr>
          <w:rFonts w:hint="eastAsia" w:ascii="Times New Roman" w:hAnsi="Times New Roman" w:eastAsia="仿宋_GB2312"/>
          <w:color w:val="auto"/>
          <w:sz w:val="32"/>
          <w:szCs w:val="32"/>
          <w:lang w:eastAsia="zh-CN"/>
        </w:rPr>
        <w:t>各</w:t>
      </w:r>
      <w:r>
        <w:rPr>
          <w:rFonts w:hint="eastAsia" w:ascii="Times New Roman" w:hAnsi="Times New Roman" w:eastAsia="仿宋_GB2312"/>
          <w:color w:val="auto"/>
          <w:sz w:val="32"/>
          <w:szCs w:val="32"/>
        </w:rPr>
        <w:t>县（市、区）医疗保障经办机构统一将初审合格的医药机构</w:t>
      </w:r>
      <w:r>
        <w:rPr>
          <w:rFonts w:hint="eastAsia" w:ascii="Times New Roman" w:hAnsi="Times New Roman" w:eastAsia="仿宋_GB2312"/>
          <w:color w:val="auto"/>
          <w:sz w:val="32"/>
          <w:szCs w:val="32"/>
          <w:lang w:eastAsia="zh-CN"/>
        </w:rPr>
        <w:t>定点准入</w:t>
      </w:r>
      <w:r>
        <w:rPr>
          <w:rFonts w:ascii="Times New Roman" w:hAnsi="Times New Roman" w:eastAsia="仿宋_GB2312"/>
          <w:color w:val="auto"/>
          <w:sz w:val="32"/>
          <w:szCs w:val="32"/>
        </w:rPr>
        <w:t>申请材料</w:t>
      </w:r>
      <w:r>
        <w:rPr>
          <w:rFonts w:hint="eastAsia" w:ascii="Times New Roman" w:hAnsi="Times New Roman" w:eastAsia="仿宋_GB2312"/>
          <w:color w:val="auto"/>
          <w:sz w:val="32"/>
          <w:szCs w:val="32"/>
          <w:lang w:eastAsia="zh-CN"/>
        </w:rPr>
        <w:t>电子版、纸质版和申请</w:t>
      </w:r>
      <w:r>
        <w:rPr>
          <w:rFonts w:ascii="Times New Roman" w:hAnsi="Times New Roman" w:eastAsia="仿宋_GB2312"/>
          <w:color w:val="auto"/>
          <w:sz w:val="32"/>
          <w:szCs w:val="32"/>
        </w:rPr>
        <w:t>汇总</w:t>
      </w:r>
      <w:r>
        <w:rPr>
          <w:rFonts w:hint="eastAsia" w:ascii="Times New Roman" w:hAnsi="Times New Roman" w:eastAsia="仿宋_GB2312"/>
          <w:color w:val="auto"/>
          <w:sz w:val="32"/>
          <w:szCs w:val="32"/>
          <w:lang w:eastAsia="zh-CN"/>
        </w:rPr>
        <w:t>表（附件</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highlight w:val="none"/>
        </w:rPr>
        <w:t>报</w:t>
      </w:r>
      <w:r>
        <w:rPr>
          <w:rFonts w:hint="eastAsia" w:ascii="Times New Roman" w:hAnsi="Times New Roman" w:eastAsia="仿宋_GB2312"/>
          <w:color w:val="auto"/>
          <w:sz w:val="32"/>
          <w:szCs w:val="32"/>
          <w:highlight w:val="none"/>
          <w:lang w:eastAsia="zh-CN"/>
        </w:rPr>
        <w:t>送至</w:t>
      </w:r>
      <w:r>
        <w:rPr>
          <w:rFonts w:hint="eastAsia" w:ascii="Times New Roman" w:hAnsi="Times New Roman" w:eastAsia="仿宋_GB2312"/>
          <w:color w:val="auto"/>
          <w:sz w:val="32"/>
          <w:szCs w:val="32"/>
          <w:highlight w:val="none"/>
        </w:rPr>
        <w:t>赣州市医疗保障基金管理中心</w:t>
      </w:r>
      <w:r>
        <w:rPr>
          <w:rFonts w:hint="default" w:ascii="Times New Roman" w:hAnsi="Times New Roman" w:eastAsia="仿宋_GB2312"/>
          <w:color w:val="auto"/>
          <w:sz w:val="32"/>
          <w:szCs w:val="32"/>
          <w:highlight w:val="none"/>
          <w:lang w:val="en"/>
        </w:rPr>
        <w:t>15</w:t>
      </w:r>
      <w:r>
        <w:rPr>
          <w:rFonts w:hint="eastAsia" w:ascii="Times New Roman" w:hAnsi="Times New Roman" w:eastAsia="仿宋_GB2312"/>
          <w:color w:val="auto"/>
          <w:sz w:val="32"/>
          <w:szCs w:val="32"/>
          <w:highlight w:val="none"/>
          <w:lang w:val="en" w:eastAsia="zh-CN"/>
        </w:rPr>
        <w:t>楼定点管理科</w:t>
      </w:r>
      <w:r>
        <w:rPr>
          <w:rFonts w:ascii="Times New Roman" w:hAnsi="Times New Roman" w:eastAsia="仿宋_GB2312"/>
          <w:color w:val="auto"/>
          <w:sz w:val="32"/>
          <w:szCs w:val="32"/>
          <w:highlight w:val="none"/>
        </w:rPr>
        <w:t>。</w:t>
      </w:r>
    </w:p>
    <w:p>
      <w:pPr>
        <w:pageBreakBefore w:val="0"/>
        <w:widowControl/>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eastAsia="zh-CN" w:bidi="ar"/>
        </w:rPr>
        <w:t>赣州市医疗保障基金管理中心根据医药机构申请情况报赣州市医疗保障局备案后，随机抽取评估专家组成评估小组（或受委托的第三方评估机构）以书面、现场等方式</w:t>
      </w:r>
      <w:r>
        <w:rPr>
          <w:rFonts w:hint="eastAsia" w:ascii="Times New Roman" w:hAnsi="Times New Roman" w:eastAsia="仿宋_GB2312"/>
          <w:color w:val="auto"/>
          <w:sz w:val="32"/>
          <w:szCs w:val="32"/>
        </w:rPr>
        <w:t>围绕综合评估表中的评分项目</w:t>
      </w:r>
      <w:r>
        <w:rPr>
          <w:rFonts w:hint="eastAsia" w:ascii="Times New Roman" w:hAnsi="Times New Roman" w:eastAsia="仿宋_GB2312"/>
          <w:color w:val="auto"/>
          <w:sz w:val="32"/>
          <w:szCs w:val="32"/>
          <w:lang w:eastAsia="zh-CN"/>
        </w:rPr>
        <w:t>进行综合评估</w:t>
      </w:r>
      <w:r>
        <w:rPr>
          <w:rFonts w:hint="eastAsia" w:ascii="Times New Roman" w:hAnsi="Times New Roman" w:eastAsia="仿宋_GB2312"/>
          <w:color w:val="auto"/>
          <w:sz w:val="32"/>
          <w:szCs w:val="32"/>
        </w:rPr>
        <w:t>，满分为100分，</w:t>
      </w:r>
      <w:r>
        <w:rPr>
          <w:rFonts w:hint="eastAsia" w:ascii="Times New Roman" w:hAnsi="Times New Roman" w:eastAsia="仿宋_GB2312"/>
          <w:color w:val="auto"/>
          <w:sz w:val="32"/>
          <w:szCs w:val="32"/>
          <w:lang w:eastAsia="zh-CN"/>
        </w:rPr>
        <w:t>评估得分</w:t>
      </w:r>
      <w:r>
        <w:rPr>
          <w:rFonts w:hint="eastAsia" w:ascii="Times New Roman" w:hAnsi="Times New Roman" w:eastAsia="仿宋_GB2312"/>
          <w:color w:val="auto"/>
          <w:sz w:val="32"/>
          <w:szCs w:val="32"/>
          <w:lang w:val="en-US" w:eastAsia="zh-CN"/>
        </w:rPr>
        <w:t>85分以上（含85分）为合格。</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pPr>
      <w:r>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t>（四）评估公示</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综合评估工作结束后7个工作日内，综合评估</w:t>
      </w:r>
      <w:r>
        <w:rPr>
          <w:rFonts w:hint="eastAsia" w:ascii="Times New Roman" w:hAnsi="Times New Roman" w:eastAsia="仿宋_GB2312" w:cs="仿宋_GB2312"/>
          <w:color w:val="auto"/>
          <w:kern w:val="0"/>
          <w:sz w:val="32"/>
          <w:szCs w:val="32"/>
          <w:lang w:eastAsia="zh-CN" w:bidi="ar"/>
        </w:rPr>
        <w:t>合格的医药机构</w:t>
      </w:r>
      <w:r>
        <w:rPr>
          <w:rFonts w:hint="eastAsia" w:ascii="Times New Roman" w:hAnsi="Times New Roman" w:eastAsia="仿宋_GB2312" w:cs="仿宋_GB2312"/>
          <w:color w:val="auto"/>
          <w:kern w:val="0"/>
          <w:sz w:val="32"/>
          <w:szCs w:val="32"/>
          <w:lang w:bidi="ar"/>
        </w:rPr>
        <w:t>由赣州</w:t>
      </w:r>
      <w:r>
        <w:rPr>
          <w:rFonts w:ascii="Times New Roman" w:hAnsi="Times New Roman" w:eastAsia="仿宋_GB2312" w:cs="仿宋_GB2312"/>
          <w:color w:val="auto"/>
          <w:kern w:val="0"/>
          <w:sz w:val="32"/>
          <w:szCs w:val="32"/>
          <w:lang w:bidi="ar"/>
        </w:rPr>
        <w:t>市</w:t>
      </w:r>
      <w:r>
        <w:rPr>
          <w:rFonts w:hint="eastAsia" w:ascii="Times New Roman" w:hAnsi="Times New Roman" w:eastAsia="仿宋_GB2312" w:cs="仿宋_GB2312"/>
          <w:color w:val="auto"/>
          <w:kern w:val="0"/>
          <w:sz w:val="32"/>
          <w:szCs w:val="32"/>
          <w:lang w:bidi="ar"/>
        </w:rPr>
        <w:t>医疗保障基金管理中心通过赣州市医疗保障局门户网站</w:t>
      </w:r>
      <w:r>
        <w:rPr>
          <w:rFonts w:hint="eastAsia" w:ascii="Times New Roman" w:hAnsi="Times New Roman" w:eastAsia="仿宋_GB2312" w:cs="仿宋_GB2312"/>
          <w:color w:val="auto"/>
          <w:kern w:val="0"/>
          <w:sz w:val="32"/>
          <w:szCs w:val="32"/>
          <w:lang w:val="en-US" w:eastAsia="zh-CN" w:bidi="ar"/>
        </w:rPr>
        <w:t>进行</w:t>
      </w:r>
      <w:r>
        <w:rPr>
          <w:rFonts w:hint="eastAsia" w:ascii="Times New Roman" w:hAnsi="Times New Roman" w:eastAsia="仿宋_GB2312" w:cs="仿宋_GB2312"/>
          <w:color w:val="auto"/>
          <w:kern w:val="0"/>
          <w:sz w:val="32"/>
          <w:szCs w:val="32"/>
          <w:lang w:bidi="ar"/>
        </w:rPr>
        <w:t>公示</w:t>
      </w:r>
      <w:r>
        <w:rPr>
          <w:rFonts w:hint="eastAsia" w:ascii="Times New Roman" w:hAnsi="Times New Roman" w:eastAsia="仿宋_GB2312" w:cs="仿宋_GB2312"/>
          <w:color w:val="auto"/>
          <w:kern w:val="0"/>
          <w:sz w:val="32"/>
          <w:szCs w:val="32"/>
          <w:lang w:val="en-US" w:eastAsia="zh-CN" w:bidi="ar"/>
        </w:rPr>
        <w:t>，接受社会监督</w:t>
      </w:r>
      <w:r>
        <w:rPr>
          <w:rFonts w:hint="eastAsia" w:ascii="Times New Roman" w:hAnsi="Times New Roman" w:eastAsia="仿宋_GB2312" w:cs="仿宋_GB2312"/>
          <w:color w:val="auto"/>
          <w:kern w:val="0"/>
          <w:sz w:val="32"/>
          <w:szCs w:val="32"/>
          <w:lang w:bidi="ar"/>
        </w:rPr>
        <w:t>。</w:t>
      </w:r>
    </w:p>
    <w:p>
      <w:pPr>
        <w:pageBreakBefore w:val="0"/>
        <w:widowControl/>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楷体_GB2312" w:hAnsi="楷体_GB2312" w:eastAsia="楷体_GB2312" w:cs="楷体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（五）签订医保服务协议</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kern w:val="0"/>
          <w:sz w:val="32"/>
          <w:szCs w:val="32"/>
          <w:lang w:bidi="ar"/>
        </w:rPr>
        <w:t>公示结束后</w:t>
      </w:r>
      <w:r>
        <w:rPr>
          <w:rFonts w:hint="eastAsia"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赣州市医疗保障基金管理中心根据综合评估结果和公示情况，与综合评估得分合格的医药机构在平等沟通、协商谈判的基础上签订医疗保障服务协议。</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kern w:val="0"/>
          <w:sz w:val="32"/>
          <w:szCs w:val="32"/>
          <w:lang w:bidi="ar"/>
        </w:rPr>
      </w:pPr>
      <w:r>
        <w:rPr>
          <w:rFonts w:hint="eastAsia" w:ascii="Times New Roman" w:hAnsi="Times New Roman" w:eastAsia="仿宋_GB2312" w:cs="仿宋_GB2312"/>
          <w:color w:val="auto"/>
          <w:kern w:val="0"/>
          <w:sz w:val="32"/>
          <w:szCs w:val="32"/>
          <w:lang w:bidi="ar"/>
        </w:rPr>
        <w:t>赣州</w:t>
      </w:r>
      <w:r>
        <w:rPr>
          <w:rFonts w:ascii="Times New Roman" w:hAnsi="Times New Roman" w:eastAsia="仿宋_GB2312" w:cs="仿宋_GB2312"/>
          <w:color w:val="auto"/>
          <w:kern w:val="0"/>
          <w:sz w:val="32"/>
          <w:szCs w:val="32"/>
          <w:lang w:bidi="ar"/>
        </w:rPr>
        <w:t>市</w:t>
      </w:r>
      <w:r>
        <w:rPr>
          <w:rFonts w:hint="eastAsia" w:ascii="Times New Roman" w:hAnsi="Times New Roman" w:eastAsia="仿宋_GB2312" w:cs="仿宋_GB2312"/>
          <w:color w:val="auto"/>
          <w:kern w:val="0"/>
          <w:sz w:val="32"/>
          <w:szCs w:val="32"/>
          <w:lang w:bidi="ar"/>
        </w:rPr>
        <w:t>医疗保障基金管理中心将综合评估</w:t>
      </w:r>
      <w:r>
        <w:rPr>
          <w:rFonts w:hint="eastAsia" w:ascii="Times New Roman" w:hAnsi="Times New Roman" w:eastAsia="仿宋_GB2312" w:cs="仿宋_GB2312"/>
          <w:color w:val="auto"/>
          <w:kern w:val="0"/>
          <w:sz w:val="32"/>
          <w:szCs w:val="32"/>
          <w:lang w:eastAsia="zh-CN" w:bidi="ar"/>
        </w:rPr>
        <w:t>结果</w:t>
      </w:r>
      <w:r>
        <w:rPr>
          <w:rFonts w:hint="eastAsia" w:ascii="Times New Roman" w:hAnsi="Times New Roman" w:eastAsia="仿宋_GB2312" w:cs="仿宋_GB2312"/>
          <w:color w:val="auto"/>
          <w:kern w:val="0"/>
          <w:sz w:val="32"/>
          <w:szCs w:val="32"/>
          <w:lang w:bidi="ar"/>
        </w:rPr>
        <w:t>、签订协议医药机构名单报赣州市医疗保障局备案。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pPr>
      <w:r>
        <w:rPr>
          <w:rFonts w:hint="eastAsia" w:ascii="楷体_GB2312" w:hAnsi="楷体_GB2312" w:eastAsia="楷体_GB2312" w:cs="楷体_GB2312"/>
          <w:b/>
          <w:bCs/>
          <w:color w:val="auto"/>
          <w:spacing w:val="0"/>
          <w:w w:val="100"/>
          <w:kern w:val="0"/>
          <w:position w:val="0"/>
          <w:sz w:val="32"/>
          <w:szCs w:val="32"/>
          <w:u w:val="none"/>
          <w:shd w:val="clear" w:color="auto" w:fill="auto"/>
          <w:lang w:val="en-US" w:eastAsia="zh-CN" w:bidi="ar"/>
        </w:rPr>
        <w:t>（六）定点服务申请、评估受理地点及联系方式：</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1.定点服务申请受理地点：各县（市、区）医疗保障经办机构，联系电话详见</w:t>
      </w:r>
      <w:r>
        <w:rPr>
          <w:rFonts w:hint="eastAsia" w:ascii="Times New Roman" w:hAnsi="Times New Roman" w:eastAsia="仿宋_GB2312" w:cs="仿宋_GB2312"/>
          <w:color w:val="auto"/>
          <w:sz w:val="32"/>
          <w:szCs w:val="32"/>
          <w:lang w:val="en-US" w:eastAsia="zh-CN"/>
        </w:rPr>
        <w:t>各县（市、区）医保经办大厅通讯录（</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附件2</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highlight w:val="none"/>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2.评估复审受理地点：</w:t>
      </w:r>
      <w:r>
        <w:rPr>
          <w:rFonts w:hint="eastAsia" w:ascii="Times New Roman" w:hAnsi="Times New Roman" w:eastAsia="仿宋_GB2312" w:cs="仿宋_GB2312"/>
          <w:color w:val="auto"/>
          <w:spacing w:val="0"/>
          <w:w w:val="100"/>
          <w:kern w:val="0"/>
          <w:position w:val="0"/>
          <w:sz w:val="32"/>
          <w:szCs w:val="32"/>
          <w:highlight w:val="none"/>
          <w:u w:val="none"/>
          <w:shd w:val="clear" w:color="auto" w:fill="auto"/>
          <w:lang w:val="en-US" w:eastAsia="zh-CN" w:bidi="ar"/>
        </w:rPr>
        <w:t>章贡区兴国路55号人力资源市场赣州市医疗保障基金管理中心15楼定点管理科，联系电话：0797-8083779。</w:t>
      </w:r>
    </w:p>
    <w:p>
      <w:pPr>
        <w:pStyle w:val="8"/>
        <w:keepNext w:val="0"/>
        <w:keepLines w:val="0"/>
        <w:widowControl w:val="0"/>
        <w:numPr>
          <w:ilvl w:val="0"/>
          <w:numId w:val="0"/>
        </w:numPr>
        <w:shd w:val="clear" w:color="auto" w:fill="auto"/>
        <w:bidi w:val="0"/>
        <w:spacing w:before="0" w:beforeLines="0" w:after="0" w:line="560" w:lineRule="exact"/>
        <w:ind w:right="0" w:rightChars="0" w:firstLine="640" w:firstLineChars="200"/>
        <w:jc w:val="both"/>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pPr>
      <w:r>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t>六、工作监督</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color w:val="auto"/>
          <w:spacing w:val="0"/>
          <w:w w:val="100"/>
          <w:kern w:val="0"/>
          <w:position w:val="0"/>
          <w:sz w:val="32"/>
          <w:szCs w:val="32"/>
          <w:u w:val="none"/>
          <w:shd w:val="clear" w:color="auto" w:fill="auto"/>
          <w:lang w:val="en-US" w:eastAsia="zh-CN" w:bidi="ar"/>
        </w:rPr>
        <w:t>综合评估过程由赣州市医疗保障局实施监督，监督电话：0797-8083796。</w:t>
      </w:r>
    </w:p>
    <w:p>
      <w:pPr>
        <w:pStyle w:val="8"/>
        <w:keepNext w:val="0"/>
        <w:keepLines w:val="0"/>
        <w:widowControl w:val="0"/>
        <w:numPr>
          <w:ilvl w:val="0"/>
          <w:numId w:val="0"/>
        </w:numPr>
        <w:shd w:val="clear" w:color="auto" w:fill="auto"/>
        <w:bidi w:val="0"/>
        <w:spacing w:before="0" w:beforeLines="0" w:after="0" w:line="560" w:lineRule="exact"/>
        <w:ind w:right="0" w:rightChars="0" w:firstLine="640" w:firstLineChars="200"/>
        <w:jc w:val="both"/>
        <w:rPr>
          <w:rFonts w:hint="eastAsia" w:ascii="黑体" w:hAnsi="黑体" w:eastAsia="黑体" w:cs="黑体"/>
          <w:b w:val="0"/>
          <w:bCs w:val="0"/>
          <w:color w:val="auto"/>
          <w:spacing w:val="0"/>
          <w:w w:val="100"/>
          <w:kern w:val="0"/>
          <w:position w:val="0"/>
          <w:sz w:val="32"/>
          <w:szCs w:val="32"/>
          <w:u w:val="none"/>
          <w:shd w:val="clear" w:color="auto" w:fill="auto"/>
          <w:lang w:val="en-US" w:eastAsia="zh-CN" w:bidi="ar"/>
        </w:rPr>
      </w:pPr>
      <w:r>
        <w:rPr>
          <w:rFonts w:hint="eastAsia" w:ascii="黑体" w:hAnsi="黑体" w:eastAsia="黑体" w:cs="黑体"/>
          <w:b w:val="0"/>
          <w:bCs w:val="0"/>
          <w:color w:val="auto"/>
          <w:spacing w:val="0"/>
          <w:w w:val="100"/>
          <w:kern w:val="0"/>
          <w:position w:val="0"/>
          <w:sz w:val="32"/>
          <w:szCs w:val="32"/>
          <w:highlight w:val="none"/>
          <w:u w:val="none"/>
          <w:shd w:val="clear" w:color="auto" w:fill="auto"/>
          <w:lang w:val="en-US" w:eastAsia="zh-CN" w:bidi="ar"/>
        </w:rPr>
        <w:t>七、其他事项</w:t>
      </w:r>
    </w:p>
    <w:p>
      <w:pPr>
        <w:pStyle w:val="8"/>
        <w:keepNext w:val="0"/>
        <w:keepLines w:val="0"/>
        <w:widowControl w:val="0"/>
        <w:numPr>
          <w:ilvl w:val="-1"/>
          <w:numId w:val="0"/>
        </w:numPr>
        <w:shd w:val="clear" w:color="auto" w:fill="auto"/>
        <w:bidi w:val="0"/>
        <w:spacing w:before="0" w:beforeLines="0" w:after="0" w:line="560" w:lineRule="exact"/>
        <w:ind w:leftChars="0" w:right="0" w:rightChars="0" w:firstLine="640" w:firstLineChars="200"/>
        <w:jc w:val="both"/>
        <w:rPr>
          <w:rFonts w:hint="eastAsia" w:ascii="Times New Roman" w:hAnsi="Times New Roman" w:eastAsia="仿宋_GB2312" w:cs="仿宋_GB2312"/>
          <w:color w:val="000000"/>
          <w:spacing w:val="0"/>
          <w:sz w:val="32"/>
          <w:szCs w:val="32"/>
          <w:lang w:eastAsia="zh-CN" w:bidi="ar"/>
        </w:rPr>
      </w:pPr>
      <w:r>
        <w:rPr>
          <w:rFonts w:hint="eastAsia" w:ascii="Times New Roman" w:hAnsi="Times New Roman" w:eastAsia="仿宋_GB2312" w:cs="仿宋_GB2312"/>
          <w:color w:val="auto"/>
          <w:spacing w:val="0"/>
          <w:sz w:val="32"/>
          <w:szCs w:val="32"/>
          <w:lang w:val="en-US" w:eastAsia="zh-CN" w:bidi="ar"/>
        </w:rPr>
        <w:t>1.</w:t>
      </w:r>
      <w:r>
        <w:rPr>
          <w:rFonts w:hint="eastAsia" w:ascii="Times New Roman" w:hAnsi="Times New Roman" w:eastAsia="仿宋_GB2312" w:cs="仿宋_GB2312"/>
          <w:color w:val="000000"/>
          <w:spacing w:val="0"/>
          <w:sz w:val="32"/>
          <w:szCs w:val="32"/>
          <w:lang w:bidi="ar"/>
        </w:rPr>
        <w:t>本次申请纳入医保定点的医药机构，以申请时间为准，需保持有关资质的稳定性。凡上述“申请流程”环节中任一环节，与申请递交时单位名称、单位地址、法定代表人</w:t>
      </w:r>
      <w:r>
        <w:rPr>
          <w:rFonts w:hint="eastAsia" w:ascii="Times New Roman" w:hAnsi="Times New Roman" w:eastAsia="仿宋_GB2312" w:cs="仿宋_GB2312"/>
          <w:color w:val="auto"/>
          <w:spacing w:val="0"/>
          <w:sz w:val="32"/>
          <w:szCs w:val="32"/>
          <w:lang w:eastAsia="zh-CN" w:bidi="ar"/>
        </w:rPr>
        <w:t>等主要信息</w:t>
      </w:r>
      <w:r>
        <w:rPr>
          <w:rFonts w:hint="eastAsia" w:ascii="Times New Roman" w:hAnsi="Times New Roman" w:eastAsia="仿宋_GB2312" w:cs="仿宋_GB2312"/>
          <w:color w:val="000000"/>
          <w:spacing w:val="0"/>
          <w:sz w:val="32"/>
          <w:szCs w:val="32"/>
          <w:lang w:bidi="ar"/>
        </w:rPr>
        <w:t>不一致的，视作该医药机构自动放弃本次医保定点申请。</w:t>
      </w:r>
    </w:p>
    <w:p>
      <w:pPr>
        <w:pStyle w:val="8"/>
        <w:keepNext w:val="0"/>
        <w:keepLines w:val="0"/>
        <w:widowControl w:val="0"/>
        <w:numPr>
          <w:ilvl w:val="-1"/>
          <w:numId w:val="0"/>
        </w:numPr>
        <w:shd w:val="clear" w:color="auto" w:fill="auto"/>
        <w:bidi w:val="0"/>
        <w:spacing w:before="0" w:beforeLines="0" w:after="0" w:line="560" w:lineRule="exact"/>
        <w:ind w:leftChars="0" w:right="0" w:rightChars="0" w:firstLine="640" w:firstLineChars="200"/>
        <w:jc w:val="both"/>
        <w:rPr>
          <w:rFonts w:hint="eastAsia" w:ascii="Times New Roman" w:hAnsi="Times New Roman" w:eastAsia="仿宋_GB2312" w:cs="仿宋_GB2312"/>
          <w:color w:val="auto"/>
          <w:spacing w:val="0"/>
          <w:sz w:val="32"/>
          <w:szCs w:val="32"/>
          <w:lang w:bidi="ar"/>
        </w:rPr>
      </w:pPr>
      <w:r>
        <w:rPr>
          <w:rFonts w:hint="eastAsia" w:ascii="Times New Roman" w:hAnsi="Times New Roman" w:eastAsia="仿宋_GB2312" w:cs="仿宋_GB2312"/>
          <w:color w:val="auto"/>
          <w:spacing w:val="0"/>
          <w:sz w:val="32"/>
          <w:szCs w:val="32"/>
          <w:lang w:val="en-US" w:eastAsia="zh-CN" w:bidi="ar"/>
        </w:rPr>
        <w:t xml:space="preserve">    2</w:t>
      </w:r>
      <w:r>
        <w:rPr>
          <w:rFonts w:hint="eastAsia" w:ascii="Times New Roman" w:hAnsi="Times New Roman" w:eastAsia="仿宋_GB2312" w:cs="仿宋_GB2312"/>
          <w:color w:val="000000"/>
          <w:spacing w:val="0"/>
          <w:sz w:val="32"/>
          <w:szCs w:val="32"/>
          <w:lang w:bidi="ar"/>
        </w:rPr>
        <w:t>.医药机构应严格按照本通</w:t>
      </w:r>
      <w:r>
        <w:rPr>
          <w:rFonts w:hint="eastAsia" w:ascii="Times New Roman" w:hAnsi="Times New Roman" w:eastAsia="仿宋_GB2312" w:cs="仿宋_GB2312"/>
          <w:color w:val="auto"/>
          <w:spacing w:val="0"/>
          <w:sz w:val="32"/>
          <w:szCs w:val="32"/>
          <w:lang w:eastAsia="zh-CN" w:bidi="ar"/>
        </w:rPr>
        <w:t>告</w:t>
      </w:r>
      <w:r>
        <w:rPr>
          <w:rFonts w:hint="eastAsia" w:ascii="Times New Roman" w:hAnsi="Times New Roman" w:eastAsia="仿宋_GB2312" w:cs="仿宋_GB2312"/>
          <w:color w:val="000000"/>
          <w:spacing w:val="0"/>
          <w:sz w:val="32"/>
          <w:szCs w:val="32"/>
          <w:lang w:bidi="ar"/>
        </w:rPr>
        <w:t>要求,如实填报相关执(营)业信息与申报资料，不得弄虚作假。如发现医药机构虚构、篡改材料等不诚信行为的，视作自动放弃本次医保定点申请，并自发现之日起3年内不予受理其医保定点申请。</w:t>
      </w:r>
    </w:p>
    <w:p>
      <w:pPr>
        <w:pStyle w:val="8"/>
        <w:keepNext w:val="0"/>
        <w:keepLines w:val="0"/>
        <w:widowControl w:val="0"/>
        <w:numPr>
          <w:ilvl w:val="-1"/>
          <w:numId w:val="0"/>
        </w:numPr>
        <w:shd w:val="clear" w:color="auto" w:fill="auto"/>
        <w:bidi w:val="0"/>
        <w:spacing w:before="0" w:beforeLines="0" w:after="0" w:line="560" w:lineRule="exact"/>
        <w:ind w:leftChars="200" w:right="0" w:rightChars="0" w:firstLine="640" w:firstLineChars="200"/>
        <w:jc w:val="both"/>
        <w:rPr>
          <w:rFonts w:hint="default" w:ascii="仿宋_GB2312" w:hAnsi="微软雅黑" w:eastAsia="仿宋_GB2312" w:cs="仿宋_GB2312"/>
          <w:color w:val="000000"/>
          <w:spacing w:val="0"/>
          <w:sz w:val="32"/>
          <w:szCs w:val="32"/>
          <w:lang w:val="en-US" w:eastAsia="zh-CN" w:bidi="ar"/>
        </w:rPr>
      </w:pPr>
    </w:p>
    <w:p>
      <w:pPr>
        <w:pStyle w:val="8"/>
        <w:keepNext w:val="0"/>
        <w:keepLines w:val="0"/>
        <w:widowControl w:val="0"/>
        <w:numPr>
          <w:ilvl w:val="-1"/>
          <w:numId w:val="0"/>
        </w:numPr>
        <w:shd w:val="clear" w:color="auto" w:fill="auto"/>
        <w:bidi w:val="0"/>
        <w:spacing w:before="0" w:beforeLines="0" w:after="0" w:line="560" w:lineRule="exact"/>
        <w:ind w:leftChars="200" w:right="0" w:rightChars="0" w:firstLine="640" w:firstLineChars="200"/>
        <w:jc w:val="both"/>
        <w:rPr>
          <w:rFonts w:hint="eastAsia" w:ascii="仿宋_GB2312" w:hAnsi="微软雅黑" w:eastAsia="仿宋_GB2312" w:cs="仿宋_GB2312"/>
          <w:color w:val="000000"/>
          <w:spacing w:val="0"/>
          <w:sz w:val="32"/>
          <w:szCs w:val="32"/>
          <w:lang w:val="en-US" w:eastAsia="zh-CN" w:bidi="ar"/>
        </w:rPr>
      </w:pPr>
    </w:p>
    <w:p>
      <w:pPr>
        <w:pStyle w:val="5"/>
        <w:widowControl/>
        <w:shd w:val="clear" w:color="auto" w:fill="auto"/>
        <w:spacing w:before="0" w:beforeAutospacing="0" w:after="0" w:afterAutospacing="0" w:line="600" w:lineRule="exact"/>
        <w:ind w:firstLine="0" w:firstLineChars="0"/>
        <w:rPr>
          <w:rFonts w:hint="eastAsia" w:ascii="仿宋_GB2312" w:hAnsi="仿宋_GB2312" w:eastAsia="仿宋_GB2312" w:cs="仿宋_GB2312"/>
          <w:b w:val="0"/>
          <w:i w:val="0"/>
          <w:color w:val="auto"/>
          <w:spacing w:val="0"/>
          <w:w w:val="100"/>
          <w:kern w:val="0"/>
          <w:position w:val="0"/>
          <w:sz w:val="32"/>
          <w:szCs w:val="32"/>
          <w:u w:val="none"/>
          <w:shd w:val="clear" w:color="auto" w:fill="auto"/>
          <w:lang w:val="en-US" w:eastAsia="zh-CN" w:bidi="ar"/>
        </w:rPr>
      </w:pPr>
    </w:p>
    <w:p>
      <w:pPr>
        <w:pStyle w:val="5"/>
        <w:widowControl/>
        <w:shd w:val="clear" w:color="auto" w:fill="auto"/>
        <w:spacing w:before="0" w:beforeAutospacing="0" w:after="0" w:afterAutospacing="0" w:line="600" w:lineRule="exact"/>
        <w:ind w:firstLine="0" w:firstLineChars="0"/>
        <w:rPr>
          <w:rFonts w:hint="eastAsia" w:ascii="黑体" w:hAnsi="黑体" w:eastAsia="黑体" w:cs="黑体"/>
          <w:color w:val="auto"/>
          <w:sz w:val="32"/>
          <w:szCs w:val="32"/>
          <w:lang w:val="en-US" w:eastAsia="zh-CN"/>
        </w:rPr>
      </w:pPr>
      <w:r>
        <w:rPr>
          <w:rFonts w:hint="eastAsia" w:ascii="黑体" w:hAnsi="黑体" w:eastAsia="黑体" w:cs="黑体"/>
          <w:b w:val="0"/>
          <w:i w:val="0"/>
          <w:color w:val="auto"/>
          <w:spacing w:val="0"/>
          <w:w w:val="100"/>
          <w:kern w:val="0"/>
          <w:position w:val="0"/>
          <w:sz w:val="32"/>
          <w:szCs w:val="32"/>
          <w:u w:val="none"/>
          <w:shd w:val="clear" w:color="auto" w:fill="auto"/>
          <w:lang w:val="en-US" w:eastAsia="zh-CN" w:bidi="ar"/>
        </w:rPr>
        <w:t>附件2</w:t>
      </w:r>
    </w:p>
    <w:tbl>
      <w:tblPr>
        <w:tblStyle w:val="6"/>
        <w:tblpPr w:leftFromText="180" w:rightFromText="180" w:vertAnchor="text" w:horzAnchor="page" w:tblpX="1607" w:tblpY="261"/>
        <w:tblOverlap w:val="never"/>
        <w:tblW w:w="9272" w:type="dxa"/>
        <w:tblInd w:w="0" w:type="dxa"/>
        <w:shd w:val="clear" w:color="auto" w:fill="auto"/>
        <w:tblLayout w:type="fixed"/>
        <w:tblCellMar>
          <w:top w:w="0" w:type="dxa"/>
          <w:left w:w="0" w:type="dxa"/>
          <w:bottom w:w="0" w:type="dxa"/>
          <w:right w:w="0" w:type="dxa"/>
        </w:tblCellMar>
      </w:tblPr>
      <w:tblGrid>
        <w:gridCol w:w="623"/>
        <w:gridCol w:w="3668"/>
        <w:gridCol w:w="4981"/>
      </w:tblGrid>
      <w:tr>
        <w:tblPrEx>
          <w:shd w:val="clear" w:color="auto" w:fill="auto"/>
          <w:tblCellMar>
            <w:top w:w="0" w:type="dxa"/>
            <w:left w:w="0" w:type="dxa"/>
            <w:bottom w:w="0" w:type="dxa"/>
            <w:right w:w="0" w:type="dxa"/>
          </w:tblCellMar>
        </w:tblPrEx>
        <w:trPr>
          <w:trHeight w:val="949" w:hRule="atLeast"/>
        </w:trPr>
        <w:tc>
          <w:tcPr>
            <w:tcW w:w="9272"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仿宋_GB2312" w:hAnsi="仿宋_GB2312" w:eastAsia="仿宋_GB2312" w:cs="仿宋_GB2312"/>
                <w:b/>
                <w:i w:val="0"/>
                <w:color w:val="auto"/>
                <w:sz w:val="36"/>
                <w:szCs w:val="36"/>
                <w:u w:val="none"/>
              </w:rPr>
            </w:pPr>
            <w:r>
              <w:rPr>
                <w:rFonts w:hint="eastAsia" w:ascii="方正小标宋简体" w:hAnsi="方正小标宋简体" w:eastAsia="方正小标宋简体" w:cs="方正小标宋简体"/>
                <w:b w:val="0"/>
                <w:bCs/>
                <w:i w:val="0"/>
                <w:color w:val="auto"/>
                <w:spacing w:val="0"/>
                <w:w w:val="100"/>
                <w:kern w:val="0"/>
                <w:position w:val="0"/>
                <w:sz w:val="44"/>
                <w:szCs w:val="44"/>
                <w:u w:val="none"/>
                <w:shd w:val="clear" w:color="auto" w:fill="auto"/>
                <w:lang w:val="en-US" w:eastAsia="zh-CN" w:bidi="ar"/>
              </w:rPr>
              <w:t>各县（市、区）医保经办大厅通讯录</w:t>
            </w:r>
          </w:p>
        </w:tc>
      </w:tr>
      <w:tr>
        <w:tblPrEx>
          <w:shd w:val="clear" w:color="auto" w:fill="auto"/>
          <w:tblCellMar>
            <w:top w:w="0" w:type="dxa"/>
            <w:left w:w="0" w:type="dxa"/>
            <w:bottom w:w="0" w:type="dxa"/>
            <w:right w:w="0" w:type="dxa"/>
          </w:tblCellMar>
        </w:tblPrEx>
        <w:trPr>
          <w:trHeight w:val="9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u w:val="none"/>
              </w:rPr>
            </w:pPr>
            <w:r>
              <w:rPr>
                <w:rFonts w:hint="eastAsia" w:ascii="仿宋_GB2312" w:hAnsi="仿宋_GB2312" w:eastAsia="仿宋_GB2312" w:cs="仿宋_GB2312"/>
                <w:b/>
                <w:i w:val="0"/>
                <w:color w:val="auto"/>
                <w:spacing w:val="0"/>
                <w:w w:val="100"/>
                <w:kern w:val="0"/>
                <w:position w:val="0"/>
                <w:sz w:val="28"/>
                <w:szCs w:val="28"/>
                <w:u w:val="none"/>
                <w:shd w:val="clear" w:color="auto" w:fill="auto"/>
                <w:lang w:val="en-US" w:eastAsia="zh-CN" w:bidi="ar"/>
              </w:rPr>
              <w:t>序号</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2"/>
                <w:szCs w:val="32"/>
                <w:u w:val="none"/>
              </w:rPr>
            </w:pPr>
            <w:r>
              <w:rPr>
                <w:rFonts w:hint="eastAsia" w:ascii="仿宋_GB2312" w:hAnsi="仿宋_GB2312" w:eastAsia="仿宋_GB2312" w:cs="仿宋_GB2312"/>
                <w:b/>
                <w:i w:val="0"/>
                <w:color w:val="auto"/>
                <w:spacing w:val="0"/>
                <w:w w:val="100"/>
                <w:kern w:val="0"/>
                <w:position w:val="0"/>
                <w:sz w:val="32"/>
                <w:szCs w:val="32"/>
                <w:u w:val="none"/>
                <w:shd w:val="clear" w:color="auto" w:fill="auto"/>
                <w:lang w:val="en-US" w:eastAsia="zh-CN" w:bidi="ar"/>
              </w:rPr>
              <w:t>经办大厅名称</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32"/>
                <w:szCs w:val="32"/>
                <w:u w:val="none"/>
              </w:rPr>
            </w:pPr>
            <w:r>
              <w:rPr>
                <w:rFonts w:hint="eastAsia" w:ascii="仿宋_GB2312" w:hAnsi="仿宋_GB2312" w:eastAsia="仿宋_GB2312" w:cs="仿宋_GB2312"/>
                <w:b/>
                <w:i w:val="0"/>
                <w:color w:val="auto"/>
                <w:spacing w:val="0"/>
                <w:w w:val="100"/>
                <w:kern w:val="0"/>
                <w:position w:val="0"/>
                <w:sz w:val="32"/>
                <w:szCs w:val="32"/>
                <w:u w:val="none"/>
                <w:shd w:val="clear" w:color="auto" w:fill="auto"/>
                <w:lang w:val="en-US" w:eastAsia="zh-CN" w:bidi="ar"/>
              </w:rPr>
              <w:t>联系电话</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28"/>
                <w:szCs w:val="28"/>
                <w:u w:val="none"/>
              </w:rPr>
            </w:pPr>
            <w:r>
              <w:rPr>
                <w:rFonts w:hint="eastAsia" w:ascii="Times New Roman" w:hAnsi="Times New Roman" w:eastAsia="仿宋_GB2312" w:cs="仿宋_GB2312"/>
                <w:i w:val="0"/>
                <w:color w:val="auto"/>
                <w:spacing w:val="0"/>
                <w:w w:val="100"/>
                <w:kern w:val="0"/>
                <w:position w:val="0"/>
                <w:sz w:val="28"/>
                <w:szCs w:val="28"/>
                <w:u w:val="none"/>
                <w:shd w:val="clear" w:color="auto" w:fill="auto"/>
                <w:lang w:val="en-US" w:eastAsia="zh-CN" w:bidi="ar"/>
              </w:rPr>
              <w:t>1</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市医疗保障基金管理中心</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0797-8083779</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2</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章贡</w:t>
            </w:r>
            <w:r>
              <w:rPr>
                <w:rFonts w:hint="eastAsia" w:eastAsia="仿宋_GB2312" w:cs="仿宋_GB2312"/>
                <w:i w:val="0"/>
                <w:color w:val="auto"/>
                <w:spacing w:val="0"/>
                <w:w w:val="100"/>
                <w:kern w:val="0"/>
                <w:position w:val="0"/>
                <w:sz w:val="32"/>
                <w:szCs w:val="32"/>
                <w:u w:val="none"/>
                <w:shd w:val="clear" w:color="auto" w:fill="auto"/>
                <w:lang w:val="en-US" w:eastAsia="zh-CN" w:bidi="ar"/>
              </w:rPr>
              <w:t>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0797-8270855</w:t>
            </w:r>
          </w:p>
        </w:tc>
      </w:tr>
      <w:tr>
        <w:tblPrEx>
          <w:shd w:val="clear" w:color="auto" w:fill="auto"/>
          <w:tblCellMar>
            <w:top w:w="0" w:type="dxa"/>
            <w:left w:w="0" w:type="dxa"/>
            <w:bottom w:w="0" w:type="dxa"/>
            <w:right w:w="0" w:type="dxa"/>
          </w:tblCellMar>
        </w:tblPrEx>
        <w:trPr>
          <w:trHeight w:val="835"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3</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南康区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0797-6625946</w:t>
            </w:r>
          </w:p>
          <w:p>
            <w:pPr>
              <w:keepNext w:val="0"/>
              <w:keepLines w:val="0"/>
              <w:widowControl/>
              <w:suppressLineNumbers w:val="0"/>
              <w:shd w:val="clear" w:color="auto" w:fill="auto"/>
              <w:jc w:val="center"/>
              <w:textAlignment w:val="center"/>
              <w:rPr>
                <w:rFonts w:hint="eastAsia" w:eastAsia="仿宋_GB2312" w:cs="仿宋_GB2312"/>
                <w:color w:val="auto"/>
                <w:sz w:val="32"/>
                <w:szCs w:val="32"/>
                <w:lang w:val="en-US" w:eastAsia="zh-CN"/>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0797-6625028</w:t>
            </w:r>
          </w:p>
        </w:tc>
      </w:tr>
      <w:tr>
        <w:tblPrEx>
          <w:shd w:val="clear" w:color="auto" w:fill="auto"/>
          <w:tblCellMar>
            <w:top w:w="0" w:type="dxa"/>
            <w:left w:w="0" w:type="dxa"/>
            <w:bottom w:w="0" w:type="dxa"/>
            <w:right w:w="0" w:type="dxa"/>
          </w:tblCellMar>
        </w:tblPrEx>
        <w:trPr>
          <w:trHeight w:val="41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4</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赣县区</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0797-4440029</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5</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龙南市</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0797-3512155</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6</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信丰县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0797-3331956</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7</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大余县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0797-8722628</w:t>
            </w:r>
          </w:p>
          <w:p>
            <w:pPr>
              <w:keepNext w:val="0"/>
              <w:keepLines w:val="0"/>
              <w:widowControl/>
              <w:suppressLineNumbers w:val="0"/>
              <w:shd w:val="clear" w:color="auto" w:fill="auto"/>
              <w:jc w:val="center"/>
              <w:textAlignment w:val="center"/>
              <w:rPr>
                <w:rFonts w:hint="eastAsia" w:eastAsia="仿宋_GB2312" w:cs="仿宋_GB2312"/>
                <w:color w:val="auto"/>
                <w:sz w:val="32"/>
                <w:szCs w:val="32"/>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0797-8722685</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8</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上犹县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0797-8541575</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9</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崇义县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color="auto" w:fill="auto"/>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0797-3812634</w:t>
            </w:r>
          </w:p>
          <w:p>
            <w:pPr>
              <w:keepNext w:val="0"/>
              <w:keepLines w:val="0"/>
              <w:widowControl/>
              <w:suppressLineNumbers w:val="0"/>
              <w:shd w:val="clear" w:color="auto" w:fill="auto"/>
              <w:jc w:val="center"/>
              <w:textAlignment w:val="center"/>
              <w:rPr>
                <w:rFonts w:hint="eastAsia" w:eastAsia="仿宋_GB2312" w:cs="仿宋_GB2312"/>
                <w:color w:val="auto"/>
                <w:sz w:val="32"/>
                <w:szCs w:val="32"/>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0797-3815990</w:t>
            </w:r>
          </w:p>
        </w:tc>
      </w:tr>
      <w:tr>
        <w:tblPrEx>
          <w:tblCellMar>
            <w:top w:w="0" w:type="dxa"/>
            <w:left w:w="0" w:type="dxa"/>
            <w:bottom w:w="0" w:type="dxa"/>
            <w:right w:w="0" w:type="dxa"/>
          </w:tblCellMar>
        </w:tblPrEx>
        <w:trPr>
          <w:trHeight w:val="6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10</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安远县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0797-3727055</w:t>
            </w:r>
          </w:p>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0797-3753779</w:t>
            </w:r>
          </w:p>
        </w:tc>
      </w:tr>
      <w:tr>
        <w:tblPrEx>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11</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定南县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0797-4290370</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12</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全南县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0797-2632997</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13</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兴国县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0797-5322751</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14</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宁都县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0797-6833228</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15</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石城县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0797-5721187</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16</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于都县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0797-6309159</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17</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瑞金市</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0797-2524798</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18</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会昌县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0797-5631766</w:t>
            </w:r>
          </w:p>
        </w:tc>
      </w:tr>
      <w:tr>
        <w:tblPrEx>
          <w:shd w:val="clear" w:color="auto" w:fill="auto"/>
          <w:tblCellMar>
            <w:top w:w="0" w:type="dxa"/>
            <w:left w:w="0" w:type="dxa"/>
            <w:bottom w:w="0" w:type="dxa"/>
            <w:right w:w="0" w:type="dxa"/>
          </w:tblCellMar>
        </w:tblPrEx>
        <w:trPr>
          <w:trHeight w:val="42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lang w:val="en-US"/>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19</w:t>
            </w:r>
          </w:p>
        </w:tc>
        <w:tc>
          <w:tcPr>
            <w:tcW w:w="3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寻乌县</w:t>
            </w:r>
          </w:p>
        </w:tc>
        <w:tc>
          <w:tcPr>
            <w:tcW w:w="4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auto"/>
                <w:sz w:val="32"/>
                <w:szCs w:val="32"/>
                <w:u w:val="none"/>
              </w:rPr>
            </w:pPr>
            <w:r>
              <w:rPr>
                <w:rFonts w:hint="eastAsia" w:ascii="Times New Roman" w:hAnsi="Times New Roman" w:eastAsia="仿宋_GB2312" w:cs="仿宋_GB2312"/>
                <w:i w:val="0"/>
                <w:color w:val="auto"/>
                <w:spacing w:val="0"/>
                <w:w w:val="100"/>
                <w:kern w:val="0"/>
                <w:position w:val="0"/>
                <w:sz w:val="32"/>
                <w:szCs w:val="32"/>
                <w:u w:val="none"/>
                <w:shd w:val="clear" w:color="auto" w:fill="auto"/>
                <w:lang w:val="en-US" w:eastAsia="zh-CN" w:bidi="ar"/>
              </w:rPr>
              <w:t>0797-2831212</w:t>
            </w:r>
          </w:p>
        </w:tc>
      </w:tr>
    </w:tbl>
    <w:p>
      <w:pPr>
        <w:pStyle w:val="5"/>
        <w:widowControl/>
        <w:shd w:val="clear" w:color="auto" w:fill="auto"/>
        <w:spacing w:before="0" w:beforeAutospacing="0" w:after="0" w:afterAutospacing="0" w:line="600" w:lineRule="exact"/>
        <w:rPr>
          <w:rFonts w:hint="eastAsia" w:ascii="仿宋_GB2312" w:hAnsi="仿宋_GB2312" w:eastAsia="仿宋_GB2312" w:cs="仿宋_GB2312"/>
          <w:color w:val="auto"/>
          <w:sz w:val="32"/>
          <w:szCs w:val="32"/>
          <w:lang w:val="en-US" w:eastAsia="zh-CN"/>
        </w:rPr>
      </w:pPr>
    </w:p>
    <w:p>
      <w:pPr>
        <w:pStyle w:val="5"/>
        <w:widowControl/>
        <w:shd w:val="clear" w:color="auto" w:fill="auto"/>
        <w:spacing w:before="0" w:beforeAutospacing="0" w:after="0" w:afterAutospacing="0"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pStyle w:val="2"/>
        <w:rPr>
          <w:rFonts w:hint="eastAsia"/>
          <w:color w:val="auto"/>
        </w:rPr>
      </w:pPr>
    </w:p>
    <w:p>
      <w:pPr>
        <w:rPr>
          <w:rFonts w:hint="eastAsia"/>
          <w:color w:val="auto"/>
        </w:rPr>
      </w:pPr>
    </w:p>
    <w:p>
      <w:pPr>
        <w:pStyle w:val="2"/>
        <w:rPr>
          <w:rFonts w:hint="eastAsia"/>
        </w:rPr>
      </w:pP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赣州市医疗保障定点医疗机构</w:t>
      </w: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申请表</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pStyle w:val="2"/>
        <w:rPr>
          <w:rFonts w:hint="eastAsia"/>
          <w:color w:val="auto"/>
        </w:rPr>
      </w:pPr>
    </w:p>
    <w:p>
      <w:pPr>
        <w:widowControl/>
        <w:snapToGrid w:val="0"/>
        <w:spacing w:line="360" w:lineRule="auto"/>
        <w:ind w:right="353"/>
        <w:jc w:val="center"/>
        <w:rPr>
          <w:rFonts w:hint="eastAsia" w:ascii="楷体" w:hAnsi="楷体" w:eastAsia="楷体" w:cs="宋体"/>
          <w:b/>
          <w:color w:val="auto"/>
          <w:kern w:val="0"/>
          <w:sz w:val="32"/>
          <w:szCs w:val="32"/>
        </w:rPr>
      </w:pPr>
    </w:p>
    <w:p>
      <w:pPr>
        <w:widowControl/>
        <w:snapToGrid w:val="0"/>
        <w:spacing w:line="360" w:lineRule="auto"/>
        <w:ind w:right="353" w:firstLine="1264" w:firstLineChars="395"/>
        <w:rPr>
          <w:rFonts w:hint="eastAsia" w:ascii="仿宋_GB2312" w:hAnsi="楷体" w:eastAsia="仿宋_GB2312" w:cs="宋体"/>
          <w:color w:val="auto"/>
          <w:kern w:val="0"/>
          <w:sz w:val="32"/>
          <w:szCs w:val="32"/>
          <w:u w:val="single"/>
        </w:rPr>
      </w:pPr>
      <w:r>
        <w:rPr>
          <w:rFonts w:hint="eastAsia" w:ascii="仿宋_GB2312" w:hAnsi="楷体" w:eastAsia="仿宋_GB2312" w:cs="宋体"/>
          <w:color w:val="auto"/>
          <w:kern w:val="0"/>
          <w:sz w:val="32"/>
          <w:szCs w:val="32"/>
        </w:rPr>
        <w:t>医疗机构名称：</w:t>
      </w:r>
      <w:r>
        <w:rPr>
          <w:rFonts w:hint="eastAsia" w:ascii="仿宋_GB2312" w:hAnsi="楷体" w:eastAsia="仿宋_GB2312" w:cs="宋体"/>
          <w:color w:val="auto"/>
          <w:kern w:val="0"/>
          <w:sz w:val="32"/>
          <w:szCs w:val="32"/>
          <w:u w:val="single"/>
        </w:rPr>
        <w:t xml:space="preserve">                    </w:t>
      </w:r>
    </w:p>
    <w:p>
      <w:pPr>
        <w:widowControl/>
        <w:snapToGrid w:val="0"/>
        <w:spacing w:line="360" w:lineRule="auto"/>
        <w:ind w:right="353" w:firstLine="1264" w:firstLineChars="395"/>
        <w:rPr>
          <w:rFonts w:hint="eastAsia" w:ascii="仿宋_GB2312" w:hAnsi="楷体" w:eastAsia="仿宋_GB2312" w:cs="宋体"/>
          <w:b/>
          <w:color w:val="auto"/>
          <w:kern w:val="0"/>
          <w:sz w:val="32"/>
          <w:szCs w:val="32"/>
          <w:u w:val="single"/>
        </w:rPr>
      </w:pPr>
      <w:r>
        <w:rPr>
          <w:rFonts w:hint="eastAsia" w:ascii="仿宋_GB2312" w:hAnsi="楷体" w:eastAsia="仿宋_GB2312" w:cs="宋体"/>
          <w:color w:val="auto"/>
          <w:kern w:val="0"/>
          <w:sz w:val="32"/>
          <w:szCs w:val="32"/>
        </w:rPr>
        <w:t>申 请 日 期：</w:t>
      </w:r>
      <w:r>
        <w:rPr>
          <w:rFonts w:hint="eastAsia" w:ascii="仿宋_GB2312" w:hAnsi="楷体" w:eastAsia="仿宋_GB2312" w:cs="宋体"/>
          <w:b/>
          <w:color w:val="auto"/>
          <w:kern w:val="0"/>
          <w:sz w:val="32"/>
          <w:szCs w:val="32"/>
          <w:u w:val="single"/>
        </w:rPr>
        <w:t xml:space="preserve">                     </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tbl>
      <w:tblPr>
        <w:tblStyle w:val="6"/>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60"/>
        <w:gridCol w:w="900"/>
        <w:gridCol w:w="360"/>
        <w:gridCol w:w="1260"/>
        <w:gridCol w:w="54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医疗机构名称</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医疗机构地址</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所在县（市、区）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乡镇、街道</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所有制形式</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机构类别</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医院等级</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主管部门</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邮政编码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开始营业年月</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法</w:t>
            </w:r>
            <w:r>
              <w:rPr>
                <w:rFonts w:hint="eastAsia" w:ascii="仿宋_GB2312" w:hAnsi="宋体" w:eastAsia="仿宋_GB2312" w:cs="宋体"/>
                <w:color w:val="auto"/>
                <w:kern w:val="0"/>
                <w:sz w:val="28"/>
                <w:szCs w:val="28"/>
                <w:lang w:eastAsia="zh-CN"/>
              </w:rPr>
              <w:t>定</w:t>
            </w:r>
            <w:r>
              <w:rPr>
                <w:rFonts w:hint="eastAsia" w:ascii="仿宋_GB2312" w:hAnsi="宋体" w:eastAsia="仿宋_GB2312" w:cs="宋体"/>
                <w:color w:val="auto"/>
                <w:kern w:val="0"/>
                <w:sz w:val="28"/>
                <w:szCs w:val="28"/>
              </w:rPr>
              <w:t>代表人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医保负责人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核定床位数</w:t>
            </w:r>
          </w:p>
        </w:tc>
        <w:tc>
          <w:tcPr>
            <w:tcW w:w="21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p>
            <w:pPr>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 xml:space="preserve"> </w:t>
            </w:r>
          </w:p>
        </w:tc>
        <w:tc>
          <w:tcPr>
            <w:tcW w:w="2160" w:type="dxa"/>
            <w:gridSpan w:val="3"/>
            <w:tcBorders>
              <w:top w:val="single" w:color="auto" w:sz="4" w:space="0"/>
              <w:left w:val="single" w:color="auto" w:sz="4" w:space="0"/>
              <w:right w:val="single" w:color="auto" w:sz="4" w:space="0"/>
            </w:tcBorders>
            <w:vAlign w:val="center"/>
          </w:tcPr>
          <w:p>
            <w:pPr>
              <w:snapToGrid w:val="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实际开放</w:t>
            </w:r>
          </w:p>
          <w:p>
            <w:pPr>
              <w:snapToGrid w:val="0"/>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床位数</w:t>
            </w:r>
          </w:p>
        </w:tc>
        <w:tc>
          <w:tcPr>
            <w:tcW w:w="1980" w:type="dxa"/>
            <w:gridSpan w:val="2"/>
            <w:tcBorders>
              <w:top w:val="single" w:color="auto" w:sz="4" w:space="0"/>
              <w:left w:val="single" w:color="auto" w:sz="4" w:space="0"/>
              <w:right w:val="single" w:color="auto" w:sz="4" w:space="0"/>
            </w:tcBorders>
            <w:vAlign w:val="center"/>
          </w:tcPr>
          <w:p>
            <w:pP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建筑面积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c>
          <w:tcPr>
            <w:tcW w:w="216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医疗业务</w:t>
            </w:r>
          </w:p>
          <w:p>
            <w:pPr>
              <w:widowControl/>
              <w:snapToGrid w:val="0"/>
              <w:jc w:val="center"/>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用房面积</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开户银行及帐号</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诊疗科目范围</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卫生技术人员</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构成情况</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总人数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高级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中级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初级</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医生</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护士</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医技</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药师</w:t>
            </w: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w:t>
            </w: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0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合计</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开业以来（近一年）医疗收入</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总收入</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万元，其中药品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万元，医用材料</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万元，检查化验</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万元，手术、治疗</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万元，其他</w:t>
            </w:r>
            <w:r>
              <w:rPr>
                <w:rFonts w:hint="eastAsia" w:ascii="仿宋_GB2312" w:hAnsi="宋体" w:eastAsia="仿宋_GB2312" w:cs="宋体"/>
                <w:color w:val="auto"/>
                <w:kern w:val="0"/>
                <w:sz w:val="2"/>
                <w:szCs w:val="2"/>
              </w:rPr>
              <w:t>a</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医疗机构</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基本情况介绍</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eastAsia="仿宋_GB2312" w:cs="Arial"/>
                <w:color w:val="auto"/>
                <w:spacing w:val="-10"/>
                <w:sz w:val="28"/>
                <w:szCs w:val="28"/>
              </w:rPr>
              <w:t>评估情况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exact"/>
          <w:jc w:val="center"/>
        </w:trPr>
        <w:tc>
          <w:tcPr>
            <w:tcW w:w="2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公示情况</w:t>
            </w:r>
          </w:p>
        </w:tc>
        <w:tc>
          <w:tcPr>
            <w:tcW w:w="630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p>
        </w:tc>
      </w:tr>
    </w:tbl>
    <w:p>
      <w:pPr>
        <w:pStyle w:val="5"/>
        <w:widowControl/>
        <w:spacing w:before="0" w:beforeAutospacing="0" w:after="0" w:afterAutospacing="0" w:line="600" w:lineRule="exact"/>
        <w:rPr>
          <w:rFonts w:hint="eastAsia" w:ascii="仿宋_GB2312" w:hAnsi="仿宋_GB2312" w:eastAsia="仿宋_GB2312" w:cs="仿宋_GB2312"/>
          <w:color w:val="auto"/>
          <w:sz w:val="32"/>
          <w:szCs w:val="32"/>
          <w:lang w:eastAsia="zh-CN"/>
        </w:rPr>
        <w:sectPr>
          <w:footerReference r:id="rId7" w:type="first"/>
          <w:footerReference r:id="rId5" w:type="default"/>
          <w:footerReference r:id="rId6" w:type="even"/>
          <w:footnotePr>
            <w:numFmt w:val="decimal"/>
          </w:footnotePr>
          <w:pgSz w:w="11900" w:h="16840"/>
          <w:pgMar w:top="2098" w:right="1474" w:bottom="1984" w:left="1587" w:header="850" w:footer="1587" w:gutter="0"/>
          <w:pgBorders>
            <w:top w:val="none" w:sz="0" w:space="0"/>
            <w:left w:val="none" w:sz="0" w:space="0"/>
            <w:bottom w:val="none" w:sz="0" w:space="0"/>
            <w:right w:val="none" w:sz="0" w:space="0"/>
          </w:pgBorders>
          <w:pgNumType w:fmt="decimal" w:start="1"/>
          <w:cols w:space="720" w:num="1"/>
          <w:titlePg/>
          <w:rtlGutter w:val="0"/>
          <w:docGrid w:linePitch="360" w:charSpace="0"/>
        </w:sectPr>
      </w:pPr>
    </w:p>
    <w:p>
      <w:pPr>
        <w:pStyle w:val="5"/>
        <w:widowControl/>
        <w:shd w:val="clear" w:color="auto" w:fill="auto"/>
        <w:spacing w:before="0" w:beforeAutospacing="0" w:after="0" w:afterAutospacing="0"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pStyle w:val="2"/>
        <w:rPr>
          <w:rFonts w:hint="eastAsia"/>
          <w:color w:val="auto"/>
        </w:rPr>
      </w:pPr>
    </w:p>
    <w:p>
      <w:pPr>
        <w:rPr>
          <w:rFonts w:hint="eastAsia"/>
          <w:color w:val="auto"/>
        </w:rPr>
      </w:pPr>
    </w:p>
    <w:p>
      <w:pPr>
        <w:pStyle w:val="2"/>
        <w:rPr>
          <w:rFonts w:hint="eastAsia"/>
        </w:rPr>
      </w:pP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赣州市医疗保障定点零售药店</w:t>
      </w:r>
    </w:p>
    <w:p>
      <w:pPr>
        <w:widowControl/>
        <w:snapToGrid w:val="0"/>
        <w:spacing w:line="360" w:lineRule="auto"/>
        <w:ind w:right="353"/>
        <w:jc w:val="center"/>
        <w:rPr>
          <w:rFonts w:hint="eastAsia" w:ascii="黑体" w:hAnsi="黑体" w:eastAsia="黑体" w:cs="宋体"/>
          <w:color w:val="auto"/>
          <w:kern w:val="0"/>
          <w:sz w:val="48"/>
          <w:szCs w:val="48"/>
        </w:rPr>
      </w:pPr>
      <w:r>
        <w:rPr>
          <w:rFonts w:hint="eastAsia" w:ascii="黑体" w:hAnsi="黑体" w:eastAsia="黑体" w:cs="宋体"/>
          <w:color w:val="auto"/>
          <w:kern w:val="0"/>
          <w:sz w:val="48"/>
          <w:szCs w:val="48"/>
        </w:rPr>
        <w:t>申请表</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楷体" w:hAnsi="楷体" w:eastAsia="楷体" w:cs="宋体"/>
          <w:b/>
          <w:color w:val="auto"/>
          <w:kern w:val="0"/>
          <w:sz w:val="32"/>
          <w:szCs w:val="32"/>
        </w:rPr>
      </w:pPr>
    </w:p>
    <w:p>
      <w:pPr>
        <w:widowControl/>
        <w:snapToGrid w:val="0"/>
        <w:spacing w:line="360" w:lineRule="auto"/>
        <w:ind w:right="353" w:firstLine="1104" w:firstLineChars="345"/>
        <w:rPr>
          <w:rFonts w:hint="eastAsia" w:ascii="仿宋_GB2312" w:hAnsi="楷体" w:eastAsia="仿宋_GB2312" w:cs="宋体"/>
          <w:color w:val="auto"/>
          <w:kern w:val="0"/>
          <w:sz w:val="32"/>
          <w:szCs w:val="32"/>
          <w:u w:val="single"/>
        </w:rPr>
      </w:pPr>
      <w:r>
        <w:rPr>
          <w:rFonts w:hint="eastAsia" w:ascii="仿宋_GB2312" w:hAnsi="楷体" w:eastAsia="仿宋_GB2312" w:cs="宋体"/>
          <w:color w:val="auto"/>
          <w:kern w:val="0"/>
          <w:sz w:val="32"/>
          <w:szCs w:val="32"/>
        </w:rPr>
        <w:t>药店名称：</w:t>
      </w:r>
      <w:r>
        <w:rPr>
          <w:rFonts w:hint="eastAsia" w:ascii="仿宋_GB2312" w:hAnsi="楷体" w:eastAsia="仿宋_GB2312" w:cs="宋体"/>
          <w:color w:val="auto"/>
          <w:kern w:val="0"/>
          <w:sz w:val="32"/>
          <w:szCs w:val="32"/>
          <w:u w:val="single"/>
        </w:rPr>
        <w:t xml:space="preserve">                    </w:t>
      </w:r>
    </w:p>
    <w:p>
      <w:pPr>
        <w:widowControl/>
        <w:snapToGrid w:val="0"/>
        <w:spacing w:line="360" w:lineRule="auto"/>
        <w:ind w:right="353" w:firstLine="1104" w:firstLineChars="345"/>
        <w:rPr>
          <w:rFonts w:hint="eastAsia" w:ascii="仿宋_GB2312" w:hAnsi="楷体" w:eastAsia="仿宋_GB2312" w:cs="宋体"/>
          <w:b/>
          <w:color w:val="auto"/>
          <w:kern w:val="0"/>
          <w:sz w:val="32"/>
          <w:szCs w:val="32"/>
          <w:u w:val="single"/>
        </w:rPr>
      </w:pPr>
      <w:r>
        <w:rPr>
          <w:rFonts w:hint="eastAsia" w:ascii="仿宋_GB2312" w:hAnsi="楷体" w:eastAsia="仿宋_GB2312" w:cs="宋体"/>
          <w:color w:val="auto"/>
          <w:kern w:val="0"/>
          <w:sz w:val="32"/>
          <w:szCs w:val="32"/>
        </w:rPr>
        <w:t>申请日期：</w:t>
      </w:r>
      <w:r>
        <w:rPr>
          <w:rFonts w:hint="eastAsia" w:ascii="仿宋_GB2312" w:hAnsi="楷体" w:eastAsia="仿宋_GB2312" w:cs="宋体"/>
          <w:b/>
          <w:color w:val="auto"/>
          <w:kern w:val="0"/>
          <w:sz w:val="32"/>
          <w:szCs w:val="32"/>
          <w:u w:val="single"/>
        </w:rPr>
        <w:t xml:space="preserve">                    </w:t>
      </w:r>
    </w:p>
    <w:p>
      <w:pPr>
        <w:widowControl/>
        <w:snapToGrid w:val="0"/>
        <w:spacing w:line="360" w:lineRule="auto"/>
        <w:ind w:right="353"/>
        <w:jc w:val="center"/>
        <w:rPr>
          <w:rFonts w:hint="eastAsia" w:ascii="宋体" w:hAnsi="宋体" w:cs="宋体"/>
          <w:b/>
          <w:color w:val="auto"/>
          <w:kern w:val="0"/>
          <w:sz w:val="32"/>
          <w:szCs w:val="32"/>
        </w:rPr>
      </w:pPr>
    </w:p>
    <w:p>
      <w:pPr>
        <w:widowControl/>
        <w:snapToGrid w:val="0"/>
        <w:spacing w:line="360" w:lineRule="auto"/>
        <w:ind w:right="353"/>
        <w:jc w:val="center"/>
        <w:rPr>
          <w:rFonts w:hint="eastAsia" w:ascii="宋体" w:hAnsi="宋体" w:cs="宋体"/>
          <w:b/>
          <w:color w:val="auto"/>
          <w:kern w:val="0"/>
          <w:sz w:val="32"/>
          <w:szCs w:val="32"/>
        </w:rPr>
      </w:pPr>
    </w:p>
    <w:tbl>
      <w:tblPr>
        <w:tblStyle w:val="6"/>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980"/>
        <w:gridCol w:w="2155"/>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药店名称</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药店地址</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所在县（市、区）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乡镇、街道</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邮政编码</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开始营业年月</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rPr>
              <w:t>法</w:t>
            </w:r>
            <w:r>
              <w:rPr>
                <w:rFonts w:hint="eastAsia" w:ascii="仿宋_GB2312" w:hAnsi="宋体" w:eastAsia="仿宋_GB2312" w:cs="宋体"/>
                <w:color w:val="auto"/>
                <w:kern w:val="0"/>
                <w:sz w:val="28"/>
                <w:szCs w:val="28"/>
                <w:lang w:eastAsia="zh-CN"/>
              </w:rPr>
              <w:t>定</w:t>
            </w:r>
            <w:r>
              <w:rPr>
                <w:rFonts w:hint="eastAsia" w:ascii="仿宋_GB2312" w:hAnsi="宋体" w:eastAsia="仿宋_GB2312" w:cs="宋体"/>
                <w:color w:val="auto"/>
                <w:kern w:val="0"/>
                <w:sz w:val="28"/>
                <w:szCs w:val="28"/>
              </w:rPr>
              <w:t>代表</w:t>
            </w:r>
            <w:r>
              <w:rPr>
                <w:rFonts w:hint="eastAsia" w:ascii="仿宋_GB2312" w:hAnsi="宋体" w:eastAsia="仿宋_GB2312" w:cs="宋体"/>
                <w:color w:val="auto"/>
                <w:kern w:val="0"/>
                <w:sz w:val="28"/>
                <w:szCs w:val="28"/>
                <w:lang w:eastAsia="zh-CN"/>
              </w:rPr>
              <w:t>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药店负责人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ind w:right="-108"/>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联系电话</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所有制形式</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ind w:right="-108"/>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营业面积</w:t>
            </w:r>
          </w:p>
        </w:tc>
        <w:tc>
          <w:tcPr>
            <w:tcW w:w="2350" w:type="dxa"/>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rPr>
              <w:t>开户银行及帐号</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ind w:hanging="108"/>
              <w:textAlignment w:val="center"/>
              <w:rPr>
                <w:rFonts w:hint="eastAsia" w:ascii="仿宋_GB2312" w:hAnsi="宋体" w:eastAsia="仿宋_GB2312" w:cs="宋体"/>
                <w:color w:val="auto"/>
                <w:kern w:val="0"/>
                <w:sz w:val="28"/>
                <w:szCs w:val="28"/>
              </w:rPr>
            </w:pPr>
          </w:p>
          <w:p>
            <w:pPr>
              <w:pStyle w:val="2"/>
              <w:spacing w:before="314"/>
              <w:rPr>
                <w:rFonts w:hint="eastAsia"/>
                <w:color w:val="auto"/>
              </w:rPr>
            </w:pPr>
          </w:p>
          <w:p>
            <w:pPr>
              <w:rPr>
                <w:rFonts w:hint="eastAsia"/>
                <w:color w:val="auto"/>
              </w:rPr>
            </w:pPr>
          </w:p>
          <w:p>
            <w:pPr>
              <w:pStyle w:val="2"/>
              <w:spacing w:before="314"/>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经营模式</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全国连锁（），全省连锁（），全市连锁（），</w:t>
            </w:r>
          </w:p>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单体经营（）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2"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经营范围</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本店员工情况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drawing>
                <wp:inline distT="0" distB="0" distL="114300" distR="114300">
                  <wp:extent cx="19050" cy="19050"/>
                  <wp:effectExtent l="0" t="0" r="0" b="0"/>
                  <wp:docPr id="2" name="图片 1" descr="W02014042555415842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020140425554158421381"/>
                          <pic:cNvPicPr>
                            <a:picLocks noChangeAspect="1"/>
                          </pic:cNvPicPr>
                        </pic:nvPicPr>
                        <pic:blipFill>
                          <a:blip r:embed="rId11"/>
                          <a:stretch>
                            <a:fillRect/>
                          </a:stretch>
                        </pic:blipFill>
                        <pic:spPr>
                          <a:xfrm>
                            <a:off x="0" y="0"/>
                            <a:ext cx="19050" cy="19050"/>
                          </a:xfrm>
                          <a:prstGeom prst="rect">
                            <a:avLst/>
                          </a:prstGeom>
                          <a:noFill/>
                          <a:ln>
                            <a:noFill/>
                          </a:ln>
                        </pic:spPr>
                      </pic:pic>
                    </a:graphicData>
                  </a:graphic>
                </wp:inline>
              </w:drawing>
            </w:r>
            <w:r>
              <w:rPr>
                <w:rFonts w:hint="eastAsia" w:ascii="仿宋_GB2312" w:hAnsi="宋体" w:eastAsia="仿宋_GB2312" w:cs="宋体"/>
                <w:color w:val="auto"/>
                <w:kern w:val="0"/>
                <w:sz w:val="28"/>
                <w:szCs w:val="28"/>
              </w:rPr>
              <w:t>合计</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人，其中：</w:t>
            </w:r>
            <w:r>
              <w:rPr>
                <w:rFonts w:hint="eastAsia" w:ascii="仿宋_GB2312" w:hAnsi="宋体" w:eastAsia="仿宋_GB2312" w:cs="宋体"/>
                <w:color w:val="auto"/>
                <w:kern w:val="0"/>
                <w:sz w:val="28"/>
                <w:szCs w:val="28"/>
              </w:rPr>
              <w:drawing>
                <wp:inline distT="0" distB="0" distL="114300" distR="114300">
                  <wp:extent cx="19050" cy="19050"/>
                  <wp:effectExtent l="0" t="0" r="0" b="0"/>
                  <wp:docPr id="4" name="图片 2" descr="W02014042555415842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W020140425554158421381"/>
                          <pic:cNvPicPr>
                            <a:picLocks noChangeAspect="1"/>
                          </pic:cNvPicPr>
                        </pic:nvPicPr>
                        <pic:blipFill>
                          <a:blip r:embed="rId11"/>
                          <a:stretch>
                            <a:fillRect/>
                          </a:stretch>
                        </pic:blipFill>
                        <pic:spPr>
                          <a:xfrm>
                            <a:off x="0" y="0"/>
                            <a:ext cx="19050" cy="19050"/>
                          </a:xfrm>
                          <a:prstGeom prst="rect">
                            <a:avLst/>
                          </a:prstGeom>
                          <a:noFill/>
                          <a:ln>
                            <a:noFill/>
                          </a:ln>
                        </pic:spPr>
                      </pic:pic>
                    </a:graphicData>
                  </a:graphic>
                </wp:inline>
              </w:drawing>
            </w:r>
            <w:r>
              <w:rPr>
                <w:rFonts w:hint="eastAsia" w:ascii="仿宋_GB2312" w:hAnsi="宋体" w:eastAsia="仿宋_GB2312" w:cs="宋体"/>
                <w:color w:val="auto"/>
                <w:kern w:val="0"/>
                <w:sz w:val="28"/>
                <w:szCs w:val="28"/>
              </w:rPr>
              <w:t>执业药师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人，药师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w:t>
            </w:r>
          </w:p>
          <w:p>
            <w:pPr>
              <w:widowControl/>
              <w:textAlignment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其他人员</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exac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经营药品品种</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情况</w:t>
            </w:r>
          </w:p>
        </w:tc>
        <w:tc>
          <w:tcPr>
            <w:tcW w:w="6485" w:type="dxa"/>
            <w:gridSpan w:val="3"/>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药品总数</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，其中西药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，中成药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，中药饮片</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exact"/>
          <w:jc w:val="center"/>
        </w:trPr>
        <w:tc>
          <w:tcPr>
            <w:tcW w:w="2140"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开业以来（近一年）销售情况</w:t>
            </w:r>
          </w:p>
        </w:tc>
        <w:tc>
          <w:tcPr>
            <w:tcW w:w="6485" w:type="dxa"/>
            <w:gridSpan w:val="3"/>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销售总额</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万元，其中药品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万元，医用器械材料</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万元，保健品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万元，其他商品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药店</w:t>
            </w:r>
          </w:p>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基本情况介绍</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eastAsia="仿宋_GB2312" w:cs="Arial"/>
                <w:color w:val="auto"/>
                <w:spacing w:val="-10"/>
                <w:sz w:val="28"/>
                <w:szCs w:val="28"/>
              </w:rPr>
              <w:t>评估情况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color w:val="auto"/>
              </w:rPr>
            </w:pP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3"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8"/>
                <w:szCs w:val="28"/>
              </w:rPr>
            </w:pPr>
            <w:r>
              <w:rPr>
                <w:rFonts w:hint="eastAsia" w:ascii="仿宋_GB2312" w:hAnsi="宋体" w:eastAsia="仿宋_GB2312" w:cs="Arial"/>
                <w:color w:val="auto"/>
                <w:spacing w:val="-10"/>
                <w:sz w:val="28"/>
                <w:szCs w:val="28"/>
              </w:rPr>
              <w:t>公示情况</w:t>
            </w:r>
          </w:p>
        </w:tc>
        <w:tc>
          <w:tcPr>
            <w:tcW w:w="6485" w:type="dxa"/>
            <w:gridSpan w:val="3"/>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color w:val="auto"/>
                <w:kern w:val="0"/>
                <w:sz w:val="28"/>
                <w:szCs w:val="28"/>
              </w:rPr>
            </w:pPr>
          </w:p>
          <w:p>
            <w:pPr>
              <w:pStyle w:val="2"/>
              <w:spacing w:before="314"/>
              <w:rPr>
                <w:rFonts w:hint="eastAsia"/>
                <w:color w:val="auto"/>
              </w:rPr>
            </w:pPr>
          </w:p>
          <w:p>
            <w:pPr>
              <w:rPr>
                <w:rFonts w:hint="eastAsia"/>
                <w:color w:val="auto"/>
              </w:rPr>
            </w:pPr>
          </w:p>
          <w:p>
            <w:pPr>
              <w:rPr>
                <w:rFonts w:hint="eastAsia"/>
                <w:color w:val="auto"/>
              </w:rPr>
            </w:pPr>
          </w:p>
          <w:p>
            <w:pPr>
              <w:pStyle w:val="2"/>
              <w:spacing w:before="314"/>
              <w:rPr>
                <w:rFonts w:hint="eastAsia"/>
                <w:color w:val="auto"/>
              </w:rPr>
            </w:pPr>
          </w:p>
          <w:p>
            <w:pPr>
              <w:rPr>
                <w:rFonts w:hint="eastAsia"/>
                <w:color w:val="auto"/>
              </w:rPr>
            </w:pPr>
          </w:p>
        </w:tc>
      </w:tr>
    </w:tbl>
    <w:p>
      <w:pPr>
        <w:pStyle w:val="8"/>
        <w:keepNext w:val="0"/>
        <w:keepLines w:val="0"/>
        <w:widowControl w:val="0"/>
        <w:shd w:val="clear" w:color="auto" w:fill="auto"/>
        <w:bidi w:val="0"/>
        <w:spacing w:before="0" w:after="0" w:line="608" w:lineRule="exact"/>
        <w:ind w:left="0" w:leftChars="0" w:right="0" w:firstLine="0" w:firstLineChars="0"/>
        <w:jc w:val="both"/>
        <w:rPr>
          <w:rFonts w:hint="eastAsia" w:ascii="仿宋_GB2312" w:hAnsi="仿宋_GB2312" w:eastAsia="仿宋_GB2312" w:cs="仿宋_GB2312"/>
          <w:color w:val="auto"/>
          <w:spacing w:val="0"/>
          <w:w w:val="100"/>
          <w:position w:val="0"/>
          <w:sz w:val="32"/>
          <w:szCs w:val="32"/>
          <w:lang w:eastAsia="zh-CN"/>
        </w:rPr>
      </w:pPr>
    </w:p>
    <w:p>
      <w:pPr>
        <w:pStyle w:val="9"/>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footerReference r:id="rId8"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pPr w:leftFromText="180" w:rightFromText="180" w:vertAnchor="text" w:horzAnchor="page" w:tblpX="988" w:tblpY="273"/>
        <w:tblOverlap w:val="never"/>
        <w:tblW w:w="14600" w:type="dxa"/>
        <w:tblInd w:w="0" w:type="dxa"/>
        <w:tblLayout w:type="fixed"/>
        <w:tblCellMar>
          <w:top w:w="0" w:type="dxa"/>
          <w:left w:w="0" w:type="dxa"/>
          <w:bottom w:w="0" w:type="dxa"/>
          <w:right w:w="0" w:type="dxa"/>
        </w:tblCellMar>
      </w:tblPr>
      <w:tblGrid>
        <w:gridCol w:w="618"/>
        <w:gridCol w:w="980"/>
        <w:gridCol w:w="1004"/>
        <w:gridCol w:w="2269"/>
        <w:gridCol w:w="2269"/>
        <w:gridCol w:w="2269"/>
        <w:gridCol w:w="2269"/>
        <w:gridCol w:w="2272"/>
        <w:gridCol w:w="650"/>
      </w:tblGrid>
      <w:tr>
        <w:tblPrEx>
          <w:tblCellMar>
            <w:top w:w="0" w:type="dxa"/>
            <w:left w:w="0" w:type="dxa"/>
            <w:bottom w:w="0" w:type="dxa"/>
            <w:right w:w="0" w:type="dxa"/>
          </w:tblCellMar>
        </w:tblPrEx>
        <w:trPr>
          <w:trHeight w:val="440" w:hRule="atLeast"/>
        </w:trPr>
        <w:tc>
          <w:tcPr>
            <w:tcW w:w="4871" w:type="dxa"/>
            <w:gridSpan w:val="4"/>
            <w:tcBorders>
              <w:top w:val="nil"/>
              <w:left w:val="nil"/>
              <w:bottom w:val="nil"/>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color w:val="auto"/>
                <w:sz w:val="24"/>
                <w:szCs w:val="24"/>
              </w:rPr>
            </w:pPr>
            <w:r>
              <w:rPr>
                <w:rFonts w:hint="eastAsia" w:ascii="黑体" w:hAnsi="黑体" w:eastAsia="黑体" w:cs="黑体"/>
                <w:color w:val="auto"/>
                <w:kern w:val="0"/>
                <w:sz w:val="32"/>
                <w:szCs w:val="32"/>
                <w:lang w:val="en-US" w:eastAsia="zh-CN" w:bidi="ar"/>
              </w:rPr>
              <w:t>附件5</w:t>
            </w: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69"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2272"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tcBorders>
              <w:top w:val="nil"/>
              <w:left w:val="nil"/>
              <w:bottom w:val="nil"/>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40" w:hRule="atLeast"/>
        </w:trPr>
        <w:tc>
          <w:tcPr>
            <w:tcW w:w="14600" w:type="dxa"/>
            <w:gridSpan w:val="9"/>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outlineLvl w:val="9"/>
              <w:rPr>
                <w:rFonts w:hint="eastAsia" w:ascii="Times New Roman" w:hAnsi="Times New Roman" w:eastAsia="仿宋_GB2312" w:cs="仿宋_GB2312"/>
                <w:color w:val="auto"/>
                <w:sz w:val="24"/>
                <w:szCs w:val="24"/>
              </w:rPr>
            </w:pPr>
            <w:r>
              <w:rPr>
                <w:rFonts w:hint="eastAsia" w:ascii="方正小标宋简体" w:hAnsi="方正小标宋简体" w:eastAsia="方正小标宋简体" w:cs="方正小标宋简体"/>
                <w:color w:val="auto"/>
                <w:kern w:val="0"/>
                <w:sz w:val="44"/>
                <w:szCs w:val="44"/>
                <w:lang w:bidi="ar"/>
              </w:rPr>
              <w:t>赣州市医疗保障定点医疗机构综合评估表</w:t>
            </w:r>
          </w:p>
        </w:tc>
      </w:tr>
      <w:tr>
        <w:tblPrEx>
          <w:tblCellMar>
            <w:top w:w="0" w:type="dxa"/>
            <w:left w:w="0" w:type="dxa"/>
            <w:bottom w:w="0" w:type="dxa"/>
            <w:right w:w="0" w:type="dxa"/>
          </w:tblCellMar>
        </w:tblPrEx>
        <w:trPr>
          <w:trHeight w:val="90" w:hRule="atLeast"/>
        </w:trPr>
        <w:tc>
          <w:tcPr>
            <w:tcW w:w="14600" w:type="dxa"/>
            <w:gridSpan w:val="9"/>
            <w:tcBorders>
              <w:top w:val="nil"/>
              <w:left w:val="nil"/>
              <w:bottom w:val="single" w:color="404040" w:sz="4" w:space="0"/>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医疗机构名称：                评估时间：           评估专家：          总分：100分    得分：</w:t>
            </w:r>
          </w:p>
        </w:tc>
      </w:tr>
      <w:tr>
        <w:tblPrEx>
          <w:tblCellMar>
            <w:top w:w="0" w:type="dxa"/>
            <w:left w:w="0" w:type="dxa"/>
            <w:bottom w:w="0" w:type="dxa"/>
            <w:right w:w="0" w:type="dxa"/>
          </w:tblCellMar>
        </w:tblPrEx>
        <w:trPr>
          <w:trHeight w:val="332"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870"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1984" w:type="dxa"/>
            <w:gridSpan w:val="2"/>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布局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（11分）</w:t>
            </w: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开业时间</w:t>
            </w: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（1）1年以上，得2分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（2）3个月至1年以内的，得1分</w:t>
            </w:r>
            <w:r>
              <w:rPr>
                <w:rFonts w:hint="eastAsia" w:eastAsia="仿宋_GB2312" w:cs="仿宋_GB2312"/>
                <w:color w:val="auto"/>
                <w:kern w:val="0"/>
                <w:sz w:val="24"/>
                <w:szCs w:val="24"/>
                <w:lang w:eastAsia="zh-CN" w:bidi="ar"/>
              </w:rPr>
              <w:t>。</w:t>
            </w: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5"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b/>
                <w:color w:val="auto"/>
                <w:kern w:val="0"/>
                <w:sz w:val="24"/>
                <w:szCs w:val="24"/>
                <w:lang w:bidi="ar"/>
              </w:rPr>
              <w:t>开业正式运营3个月以内的，不得纳入医保定点。</w:t>
            </w:r>
            <w:r>
              <w:rPr>
                <w:rFonts w:hint="eastAsia" w:eastAsia="仿宋_GB2312" w:cs="仿宋_GB2312"/>
                <w:b/>
                <w:color w:val="auto"/>
                <w:kern w:val="0"/>
                <w:sz w:val="24"/>
                <w:szCs w:val="24"/>
                <w:lang w:eastAsia="zh-CN" w:bidi="ar"/>
              </w:rPr>
              <w:t>（以医疗机构执业许可证的有效时间起为准）</w:t>
            </w:r>
          </w:p>
        </w:tc>
        <w:tc>
          <w:tcPr>
            <w:tcW w:w="650" w:type="dxa"/>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07"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营业场所使用时间</w:t>
            </w: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（1）根据</w:t>
            </w:r>
            <w:r>
              <w:rPr>
                <w:rFonts w:hint="eastAsia" w:eastAsia="仿宋_GB2312" w:cs="仿宋_GB2312"/>
                <w:color w:val="auto"/>
                <w:kern w:val="0"/>
                <w:sz w:val="24"/>
                <w:szCs w:val="24"/>
                <w:lang w:val="en-US" w:eastAsia="zh-CN" w:bidi="ar"/>
              </w:rPr>
              <w:t>租赁</w:t>
            </w:r>
            <w:r>
              <w:rPr>
                <w:rFonts w:hint="eastAsia" w:ascii="Times New Roman" w:hAnsi="Times New Roman" w:eastAsia="仿宋_GB2312" w:cs="仿宋_GB2312"/>
                <w:color w:val="auto"/>
                <w:kern w:val="0"/>
                <w:sz w:val="24"/>
                <w:szCs w:val="24"/>
                <w:lang w:bidi="ar"/>
              </w:rPr>
              <w:t>合同的有效期和房产证确定，产权自有永久使用的，得2分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08"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（2）根据租</w:t>
            </w:r>
            <w:r>
              <w:rPr>
                <w:rFonts w:hint="eastAsia" w:eastAsia="仿宋_GB2312" w:cs="仿宋_GB2312"/>
                <w:color w:val="auto"/>
                <w:kern w:val="0"/>
                <w:sz w:val="24"/>
                <w:szCs w:val="24"/>
                <w:lang w:val="en-US" w:eastAsia="zh-CN" w:bidi="ar"/>
              </w:rPr>
              <w:t>赁</w:t>
            </w:r>
            <w:r>
              <w:rPr>
                <w:rFonts w:hint="eastAsia" w:ascii="Times New Roman" w:hAnsi="Times New Roman" w:eastAsia="仿宋_GB2312" w:cs="仿宋_GB2312"/>
                <w:color w:val="auto"/>
                <w:kern w:val="0"/>
                <w:sz w:val="24"/>
                <w:szCs w:val="24"/>
                <w:lang w:bidi="ar"/>
              </w:rPr>
              <w:t>合同的有效期和房产证确定，有效期在1年以上的，得1分</w:t>
            </w:r>
            <w:r>
              <w:rPr>
                <w:rFonts w:hint="eastAsia" w:eastAsia="仿宋_GB2312" w:cs="仿宋_GB2312"/>
                <w:color w:val="auto"/>
                <w:kern w:val="0"/>
                <w:sz w:val="24"/>
                <w:szCs w:val="24"/>
                <w:lang w:eastAsia="zh-CN" w:bidi="ar"/>
              </w:rPr>
              <w:t>。</w:t>
            </w:r>
          </w:p>
        </w:tc>
        <w:tc>
          <w:tcPr>
            <w:tcW w:w="6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5"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区域规划</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w:t>
            </w: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bidi="ar"/>
              </w:rPr>
              <w:t>（1）属于乡镇农村等医疗机构空白或相对不足区域，得3分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（2）属于城区等医疗机构相对不足的区域，得1分</w:t>
            </w:r>
            <w:r>
              <w:rPr>
                <w:rFonts w:hint="eastAsia" w:eastAsia="仿宋_GB2312" w:cs="仿宋_GB2312"/>
                <w:color w:val="auto"/>
                <w:kern w:val="0"/>
                <w:sz w:val="24"/>
                <w:szCs w:val="24"/>
                <w:lang w:eastAsia="zh-CN" w:bidi="ar"/>
              </w:rPr>
              <w:t>。</w:t>
            </w:r>
          </w:p>
        </w:tc>
        <w:tc>
          <w:tcPr>
            <w:tcW w:w="6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8"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（3）属于中医、儿科、精神卫生、老年护理医养结合类医疗机构的，另得2分</w:t>
            </w:r>
            <w:r>
              <w:rPr>
                <w:rFonts w:hint="eastAsia" w:eastAsia="仿宋_GB2312" w:cs="仿宋_GB2312"/>
                <w:color w:val="auto"/>
                <w:kern w:val="0"/>
                <w:sz w:val="24"/>
                <w:szCs w:val="24"/>
                <w:lang w:eastAsia="zh-CN" w:bidi="ar"/>
              </w:rPr>
              <w:t>。</w:t>
            </w:r>
          </w:p>
        </w:tc>
        <w:tc>
          <w:tcPr>
            <w:tcW w:w="65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61"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val="en-US" w:eastAsia="zh-CN" w:bidi="ar"/>
              </w:rPr>
              <w:t>4）</w:t>
            </w:r>
            <w:r>
              <w:rPr>
                <w:rFonts w:hint="eastAsia" w:ascii="Times New Roman" w:hAnsi="Times New Roman" w:eastAsia="仿宋_GB2312" w:cs="仿宋_GB2312"/>
                <w:color w:val="auto"/>
                <w:kern w:val="0"/>
                <w:sz w:val="24"/>
                <w:szCs w:val="24"/>
                <w:lang w:bidi="ar"/>
              </w:rPr>
              <w:t>不符合医疗保障定点规划设置要求的，</w:t>
            </w:r>
            <w:r>
              <w:rPr>
                <w:rFonts w:hint="eastAsia" w:ascii="Times New Roman" w:hAnsi="Times New Roman" w:eastAsia="仿宋_GB2312" w:cs="仿宋_GB2312"/>
                <w:color w:val="auto"/>
                <w:kern w:val="0"/>
                <w:sz w:val="24"/>
                <w:szCs w:val="24"/>
                <w:lang w:val="en-US" w:eastAsia="zh-CN" w:bidi="ar"/>
              </w:rPr>
              <w:t>得0分。</w:t>
            </w:r>
          </w:p>
        </w:tc>
        <w:tc>
          <w:tcPr>
            <w:tcW w:w="6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2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与最近同类同级医保定点医疗机构的距离</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（1）住院医疗机构5000米以上，得2分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（1）住院医疗机构3000米以上，得2分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（1）住院医疗机构2000米以上，得2分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（1）门诊医疗机构800米以上，得2分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（1）门诊医疗机构400米以上，得2分。</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85"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（2）住院医疗机构5000米以内，得1分。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（2）住院医疗机构3000米以内，得1分。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（2）住院医疗机构2000米以内，得1分。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（2）门诊医疗机构800米以内，得1分。</w:t>
            </w:r>
          </w:p>
        </w:tc>
        <w:tc>
          <w:tcPr>
            <w:tcW w:w="2272"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（2）门诊医疗机构400米以内，得1分。</w:t>
            </w:r>
          </w:p>
        </w:tc>
        <w:tc>
          <w:tcPr>
            <w:tcW w:w="6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20"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序号</w:t>
            </w:r>
          </w:p>
        </w:tc>
        <w:tc>
          <w:tcPr>
            <w:tcW w:w="1984" w:type="dxa"/>
            <w:gridSpan w:val="2"/>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评估项目</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评估标准</w:t>
            </w:r>
          </w:p>
        </w:tc>
        <w:tc>
          <w:tcPr>
            <w:tcW w:w="650"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得分</w:t>
            </w:r>
          </w:p>
        </w:tc>
      </w:tr>
      <w:tr>
        <w:tblPrEx>
          <w:tblCellMar>
            <w:top w:w="0" w:type="dxa"/>
            <w:left w:w="0" w:type="dxa"/>
            <w:bottom w:w="0" w:type="dxa"/>
            <w:right w:w="0" w:type="dxa"/>
          </w:tblCellMar>
        </w:tblPrEx>
        <w:trPr>
          <w:trHeight w:val="320"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1984" w:type="dxa"/>
            <w:gridSpan w:val="2"/>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二级及以上住院医疗机构（综合，含中医院）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一级住院医疗机构（综合，含中医院）</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住院医疗机构</w:t>
            </w:r>
          </w:p>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（专科）</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门诊医疗机构</w:t>
            </w:r>
          </w:p>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（综合）</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sz w:val="24"/>
                <w:szCs w:val="24"/>
              </w:rPr>
              <w:t>门诊医疗机构（专科，含个体诊所）</w:t>
            </w:r>
          </w:p>
        </w:tc>
        <w:tc>
          <w:tcPr>
            <w:tcW w:w="650"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shd w:val="clear" w:color="auto" w:fill="auto"/>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b/>
                <w:color w:val="auto"/>
                <w:sz w:val="24"/>
                <w:szCs w:val="24"/>
              </w:rPr>
            </w:pPr>
          </w:p>
        </w:tc>
      </w:tr>
      <w:tr>
        <w:tblPrEx>
          <w:tblCellMar>
            <w:top w:w="0" w:type="dxa"/>
            <w:left w:w="0" w:type="dxa"/>
            <w:bottom w:w="0" w:type="dxa"/>
            <w:right w:w="0" w:type="dxa"/>
          </w:tblCellMar>
        </w:tblPrEx>
        <w:trPr>
          <w:trHeight w:val="32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服务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能力</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15分）</w:t>
            </w:r>
          </w:p>
        </w:tc>
        <w:tc>
          <w:tcPr>
            <w:tcW w:w="1004" w:type="dxa"/>
            <w:vMerge w:val="restart"/>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临床科室数量</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（1）10个及以上，得3分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（1）7个及以上，得3分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（1）5个及以上，得3分</w:t>
            </w:r>
            <w:r>
              <w:rPr>
                <w:rFonts w:hint="eastAsia" w:eastAsia="仿宋_GB2312" w:cs="仿宋_GB2312"/>
                <w:color w:val="auto"/>
                <w:kern w:val="0"/>
                <w:sz w:val="24"/>
                <w:szCs w:val="24"/>
                <w:lang w:eastAsia="zh-CN" w:bidi="ar"/>
              </w:rPr>
              <w:t>。</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3</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vMerge w:val="restart"/>
            <w:tcBorders>
              <w:top w:val="single" w:color="auto"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6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（2）7个至9个，得2分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（2）4个至6个，得2分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（2）3个至4个，得2分</w:t>
            </w:r>
            <w:r>
              <w:rPr>
                <w:rFonts w:hint="eastAsia" w:eastAsia="仿宋_GB2312" w:cs="仿宋_GB2312"/>
                <w:color w:val="auto"/>
                <w:kern w:val="0"/>
                <w:sz w:val="24"/>
                <w:szCs w:val="24"/>
                <w:lang w:eastAsia="zh-CN" w:bidi="ar"/>
              </w:rPr>
              <w:t>。</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（3）5个至7个，得1分。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（3）1个至3个，得1分。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（3）1个至2个，得1分。</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26"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医保西药中成药品种数</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300种以上，得3分。</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200种以上，得3分。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00" w:hRule="atLeast"/>
        </w:trPr>
        <w:tc>
          <w:tcPr>
            <w:tcW w:w="618" w:type="dxa"/>
            <w:tcBorders>
              <w:top w:val="nil"/>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7</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中药饮片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品种数</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200种以上，得1分。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150种以上，得1分。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100种以上，得1分。</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50种以上，得1分。</w:t>
            </w:r>
          </w:p>
        </w:tc>
        <w:tc>
          <w:tcPr>
            <w:tcW w:w="2272"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30种以上，得1分。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09"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诊疗项目</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种数</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800种以上，得3分。</w:t>
            </w:r>
          </w:p>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600种以上，得3分。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400种以上，得3分。</w:t>
            </w:r>
          </w:p>
        </w:tc>
        <w:tc>
          <w:tcPr>
            <w:tcW w:w="2269"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50种以上，得3分。</w:t>
            </w:r>
          </w:p>
        </w:tc>
        <w:tc>
          <w:tcPr>
            <w:tcW w:w="2272" w:type="dxa"/>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30种以上，得3分。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val="en-US" w:eastAsia="zh-CN" w:bidi="ar"/>
              </w:rPr>
              <w:t>9</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医疗业务用房面积</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（1）8000平米以上，得2分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（1）4000平米以上，得2分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（1）2500平米以上，得2分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（1）500平米以上，得2分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（1）300平米以上，得2分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（2）2000平米至8000平米，得1分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（2）1000平米至4000平米，得1分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（2）800平米至2500平米，得1分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（2）100平米至500平米，得1分</w:t>
            </w:r>
            <w:r>
              <w:rPr>
                <w:rFonts w:hint="eastAsia" w:eastAsia="仿宋_GB2312" w:cs="仿宋_GB2312"/>
                <w:color w:val="auto"/>
                <w:kern w:val="0"/>
                <w:sz w:val="24"/>
                <w:szCs w:val="24"/>
                <w:lang w:eastAsia="zh-CN" w:bidi="ar"/>
              </w:rPr>
              <w:t>。</w:t>
            </w:r>
          </w:p>
        </w:tc>
        <w:tc>
          <w:tcPr>
            <w:tcW w:w="227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（2）50平米至300平米，得1分</w:t>
            </w:r>
            <w:r>
              <w:rPr>
                <w:rFonts w:hint="eastAsia" w:eastAsia="仿宋_GB2312" w:cs="仿宋_GB2312"/>
                <w:color w:val="auto"/>
                <w:kern w:val="0"/>
                <w:sz w:val="24"/>
                <w:szCs w:val="24"/>
                <w:lang w:eastAsia="zh-CN" w:bidi="ar"/>
              </w:rPr>
              <w:t>。</w:t>
            </w:r>
          </w:p>
        </w:tc>
        <w:tc>
          <w:tcPr>
            <w:tcW w:w="650"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0"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10</w:t>
            </w: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核定病床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数量</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（1）150张以上，得3分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（1）80张以上，得3分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（1）60张以上，得3分</w:t>
            </w:r>
            <w:r>
              <w:rPr>
                <w:rFonts w:hint="eastAsia" w:eastAsia="仿宋_GB2312" w:cs="仿宋_GB2312"/>
                <w:color w:val="auto"/>
                <w:kern w:val="0"/>
                <w:sz w:val="24"/>
                <w:szCs w:val="24"/>
                <w:lang w:eastAsia="zh-CN" w:bidi="ar"/>
              </w:rPr>
              <w:t>。</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3</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vMerge w:val="restart"/>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9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（2）81张至150张的，得2分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（2）5</w:t>
            </w:r>
            <w:r>
              <w:rPr>
                <w:rFonts w:hint="eastAsia" w:eastAsia="仿宋_GB2312" w:cs="仿宋_GB2312"/>
                <w:color w:val="auto"/>
                <w:kern w:val="0"/>
                <w:sz w:val="24"/>
                <w:szCs w:val="24"/>
                <w:lang w:val="en-US" w:eastAsia="zh-CN" w:bidi="ar"/>
              </w:rPr>
              <w:t>1</w:t>
            </w:r>
            <w:r>
              <w:rPr>
                <w:rFonts w:hint="eastAsia" w:ascii="Times New Roman" w:hAnsi="Times New Roman" w:eastAsia="仿宋_GB2312" w:cs="仿宋_GB2312"/>
                <w:color w:val="auto"/>
                <w:kern w:val="0"/>
                <w:sz w:val="24"/>
                <w:szCs w:val="24"/>
                <w:lang w:bidi="ar"/>
              </w:rPr>
              <w:t>张至80张的，得2分</w:t>
            </w:r>
            <w:r>
              <w:rPr>
                <w:rFonts w:hint="eastAsia" w:eastAsia="仿宋_GB2312" w:cs="仿宋_GB2312"/>
                <w:color w:val="auto"/>
                <w:kern w:val="0"/>
                <w:sz w:val="24"/>
                <w:szCs w:val="24"/>
                <w:lang w:eastAsia="zh-CN" w:bidi="ar"/>
              </w:rPr>
              <w:t>。</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（2）31张至60张的，得2分</w:t>
            </w:r>
            <w:r>
              <w:rPr>
                <w:rFonts w:hint="eastAsia" w:eastAsia="仿宋_GB2312" w:cs="仿宋_GB2312"/>
                <w:color w:val="auto"/>
                <w:kern w:val="0"/>
                <w:sz w:val="24"/>
                <w:szCs w:val="24"/>
                <w:lang w:eastAsia="zh-CN" w:bidi="ar"/>
              </w:rPr>
              <w:t>。</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70"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（3）20张至80张的，得1分。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（3）20张至50张的，得1分。</w:t>
            </w:r>
          </w:p>
        </w:tc>
        <w:tc>
          <w:tcPr>
            <w:tcW w:w="2269"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（3）10张至30张的，得1分。</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c>
          <w:tcPr>
            <w:tcW w:w="65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624"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1984" w:type="dxa"/>
            <w:gridSpan w:val="2"/>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74"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1</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价格</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收费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（12分）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药品价格</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随机抽查的3个国家、省集采中选药品价格，均未超过省药品集采平台确定的医院销售价格的，得3分（每个药品得1分）。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8"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2</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检查治疗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收费</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随机抽查的3个检查治疗收费</w:t>
            </w:r>
            <w:r>
              <w:rPr>
                <w:rFonts w:hint="eastAsia" w:ascii="Times New Roman" w:hAnsi="Times New Roman" w:eastAsia="仿宋_GB2312" w:cs="仿宋_GB2312"/>
                <w:color w:val="auto"/>
                <w:kern w:val="0"/>
                <w:sz w:val="24"/>
                <w:szCs w:val="24"/>
                <w:lang w:eastAsia="zh-CN" w:bidi="ar"/>
              </w:rPr>
              <w:t>项目</w:t>
            </w:r>
            <w:r>
              <w:rPr>
                <w:rFonts w:hint="eastAsia" w:ascii="Times New Roman" w:hAnsi="Times New Roman" w:eastAsia="仿宋_GB2312" w:cs="仿宋_GB2312"/>
                <w:color w:val="auto"/>
                <w:kern w:val="0"/>
                <w:sz w:val="24"/>
                <w:szCs w:val="24"/>
                <w:lang w:bidi="ar"/>
              </w:rPr>
              <w:t>均未超过规定的收费价格的，得3分（每个项目得1分）。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00"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3</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nil"/>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费用清单</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按规定提供药品、检查、治疗、服务收费清单的，得3分。</w:t>
            </w:r>
          </w:p>
        </w:tc>
        <w:tc>
          <w:tcPr>
            <w:tcW w:w="650" w:type="dxa"/>
            <w:tcBorders>
              <w:top w:val="nil"/>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15"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价格信息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公示</w:t>
            </w:r>
          </w:p>
        </w:tc>
        <w:tc>
          <w:tcPr>
            <w:tcW w:w="11348" w:type="dxa"/>
            <w:gridSpan w:val="5"/>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设立公示屏（牌）及时向群众公示药品和医疗服务价格信息及医保支付标准的，得3分。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104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5</w:t>
            </w:r>
          </w:p>
        </w:tc>
        <w:tc>
          <w:tcPr>
            <w:tcW w:w="980"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医保</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管理</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（26分）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机构设置</w:t>
            </w:r>
          </w:p>
        </w:tc>
        <w:tc>
          <w:tcPr>
            <w:tcW w:w="2269"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设立独立医保管理科室,配备专职医保管理人员，开展医保管理相关培训，得2分。</w:t>
            </w:r>
          </w:p>
        </w:tc>
        <w:tc>
          <w:tcPr>
            <w:tcW w:w="4538" w:type="dxa"/>
            <w:gridSpan w:val="2"/>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配备专（兼）职医保管理人员，开展医保管理相关培训，得2分。</w:t>
            </w:r>
          </w:p>
        </w:tc>
        <w:tc>
          <w:tcPr>
            <w:tcW w:w="4541" w:type="dxa"/>
            <w:gridSpan w:val="2"/>
            <w:tcBorders>
              <w:top w:val="single" w:color="404040" w:sz="4" w:space="0"/>
              <w:left w:val="single" w:color="404040" w:sz="4" w:space="0"/>
              <w:bottom w:val="nil"/>
              <w:right w:val="single" w:color="40404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kern w:val="0"/>
                <w:sz w:val="24"/>
                <w:szCs w:val="24"/>
                <w:lang w:bidi="ar"/>
              </w:rPr>
            </w:pPr>
          </w:p>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不作考核，直接得</w:t>
            </w:r>
            <w:r>
              <w:rPr>
                <w:rFonts w:hint="eastAsia" w:eastAsia="仿宋_GB2312" w:cs="仿宋_GB2312"/>
                <w:color w:val="auto"/>
                <w:kern w:val="0"/>
                <w:sz w:val="24"/>
                <w:szCs w:val="24"/>
                <w:lang w:val="en-US" w:eastAsia="zh-CN" w:bidi="ar"/>
              </w:rPr>
              <w:t>2</w:t>
            </w:r>
            <w:r>
              <w:rPr>
                <w:rFonts w:hint="eastAsia" w:ascii="Times New Roman" w:hAnsi="Times New Roman" w:eastAsia="仿宋_GB2312" w:cs="仿宋_GB2312"/>
                <w:color w:val="auto"/>
                <w:kern w:val="0"/>
                <w:sz w:val="24"/>
                <w:szCs w:val="24"/>
                <w:lang w:bidi="ar"/>
              </w:rPr>
              <w:t>分</w:t>
            </w:r>
            <w:r>
              <w:rPr>
                <w:rFonts w:hint="eastAsia" w:ascii="Times New Roman" w:hAnsi="Times New Roman" w:eastAsia="仿宋_GB2312" w:cs="仿宋_GB2312"/>
                <w:color w:val="auto"/>
                <w:sz w:val="24"/>
                <w:szCs w:val="24"/>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2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w:t>
            </w:r>
            <w:r>
              <w:rPr>
                <w:rFonts w:hint="eastAsia" w:ascii="Times New Roman" w:hAnsi="Times New Roman" w:eastAsia="仿宋_GB2312" w:cs="仿宋_GB2312"/>
                <w:color w:val="auto"/>
                <w:kern w:val="0"/>
                <w:sz w:val="24"/>
                <w:szCs w:val="24"/>
                <w:lang w:val="en-US" w:eastAsia="zh-CN" w:bidi="ar"/>
              </w:rPr>
              <w:t>6</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医疗保障</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管理</w:t>
            </w:r>
          </w:p>
        </w:tc>
        <w:tc>
          <w:tcPr>
            <w:tcW w:w="11348" w:type="dxa"/>
            <w:gridSpan w:val="5"/>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建立了与医疗保障管理相适应的医保管理制度、财务制度、统计信息管理制度、医疗质量安全核心制度等，制度上墙，配备了必要的管理人员、设备和办公场所，得4分。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9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17</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药品耗材</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采购</w:t>
            </w:r>
          </w:p>
        </w:tc>
        <w:tc>
          <w:tcPr>
            <w:tcW w:w="11348" w:type="dxa"/>
            <w:gridSpan w:val="5"/>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药品耗材采购渠道合法，有完整采购记录和合法票据的，得2分。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18</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环境卫生</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管理</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医疗机构干净整洁，无乱贴乱挂，功能分区合理，得4分。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0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19</w:t>
            </w:r>
          </w:p>
        </w:tc>
        <w:tc>
          <w:tcPr>
            <w:tcW w:w="98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政策宣传</w:t>
            </w: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设置医疗保障政策宣传栏，及时宣传医疗保障有关政策规定的，得4分。</w:t>
            </w:r>
          </w:p>
        </w:tc>
        <w:tc>
          <w:tcPr>
            <w:tcW w:w="650"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55"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0</w:t>
            </w:r>
          </w:p>
        </w:tc>
        <w:tc>
          <w:tcPr>
            <w:tcW w:w="980"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医保政策熟悉情况</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熟悉医疗保障重大政策法律法规，得6分（随机抽查本医疗机构医保管理工作人员2人，每人3道题，答对1题得1分）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29"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744"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1984" w:type="dxa"/>
            <w:gridSpan w:val="2"/>
            <w:vMerge w:val="continue"/>
            <w:tcBorders>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29"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1</w:t>
            </w:r>
          </w:p>
        </w:tc>
        <w:tc>
          <w:tcPr>
            <w:tcW w:w="980"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医保</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color w:val="auto"/>
                <w:kern w:val="0"/>
                <w:sz w:val="24"/>
                <w:szCs w:val="24"/>
                <w:lang w:eastAsia="zh-CN" w:bidi="ar"/>
              </w:rPr>
              <w:t>管理</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（26分）</w:t>
            </w:r>
          </w:p>
        </w:tc>
        <w:tc>
          <w:tcPr>
            <w:tcW w:w="1004"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医患投诉</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处理</w:t>
            </w:r>
          </w:p>
        </w:tc>
        <w:tc>
          <w:tcPr>
            <w:tcW w:w="11348" w:type="dxa"/>
            <w:gridSpan w:val="5"/>
            <w:tcBorders>
              <w:top w:val="single" w:color="auto"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建立健全医疗纠纷投诉和处理机构，并有专人负责，公布医疗保障、卫生健康、市场监管等投诉电话、信箱，畅通投诉渠道，及时受理、处置患方投诉的，得2分。</w:t>
            </w:r>
          </w:p>
        </w:tc>
        <w:tc>
          <w:tcPr>
            <w:tcW w:w="6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3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2</w:t>
            </w:r>
          </w:p>
        </w:tc>
        <w:tc>
          <w:tcPr>
            <w:tcW w:w="980"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便民导诊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服务</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设立导诊台、触摸屏、指示牌、就医流程、专家姓名和联系方式，方便群众看病就医的，得2分。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设立指示牌、就医流程、医生姓名和联系方式，方便群众看病就医的，得2分。</w:t>
            </w:r>
          </w:p>
        </w:tc>
        <w:tc>
          <w:tcPr>
            <w:tcW w:w="650"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60"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3</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财务</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管理</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（16分）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专业技术人员参保</w:t>
            </w:r>
            <w:r>
              <w:rPr>
                <w:rFonts w:hint="eastAsia" w:ascii="Times New Roman" w:hAnsi="Times New Roman" w:eastAsia="仿宋_GB2312" w:cs="仿宋_GB2312"/>
                <w:color w:val="auto"/>
                <w:sz w:val="24"/>
                <w:szCs w:val="24"/>
              </w:rPr>
              <w:t>缴费情况</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jc w:val="both"/>
              <w:textAlignment w:val="center"/>
              <w:rPr>
                <w:rFonts w:hint="eastAsia" w:ascii="Times New Roman" w:hAnsi="Times New Roman" w:eastAsia="仿宋_GB2312" w:cs="仿宋_GB2312"/>
                <w:color w:val="auto"/>
                <w:kern w:val="0"/>
                <w:sz w:val="24"/>
                <w:szCs w:val="24"/>
                <w:lang w:bidi="ar"/>
              </w:rPr>
            </w:pPr>
            <w:r>
              <w:rPr>
                <w:rFonts w:hint="eastAsia" w:eastAsia="仿宋_GB2312" w:cs="仿宋_GB2312"/>
                <w:color w:val="auto"/>
                <w:kern w:val="0"/>
                <w:sz w:val="24"/>
                <w:szCs w:val="24"/>
                <w:lang w:eastAsia="zh-CN" w:bidi="ar"/>
              </w:rPr>
              <w:t>通过赣服通等形式核查</w:t>
            </w:r>
            <w:r>
              <w:rPr>
                <w:rFonts w:hint="eastAsia" w:ascii="Times New Roman" w:hAnsi="Times New Roman" w:eastAsia="仿宋_GB2312" w:cs="仿宋_GB2312"/>
                <w:color w:val="auto"/>
                <w:kern w:val="0"/>
                <w:sz w:val="24"/>
                <w:szCs w:val="24"/>
                <w:lang w:bidi="ar"/>
              </w:rPr>
              <w:t>执业医师、药师等专业技术人员以本医疗机构名义缴交基本医疗保险和社会养老保险的得5分 (退休人员</w:t>
            </w:r>
            <w:r>
              <w:rPr>
                <w:rFonts w:hint="eastAsia" w:eastAsia="仿宋_GB2312" w:cs="仿宋_GB2312"/>
                <w:color w:val="auto"/>
                <w:kern w:val="0"/>
                <w:sz w:val="24"/>
                <w:szCs w:val="24"/>
                <w:lang w:eastAsia="zh-CN" w:bidi="ar"/>
              </w:rPr>
              <w:t>通过赣服通等形式核查</w:t>
            </w:r>
            <w:r>
              <w:rPr>
                <w:rFonts w:hint="eastAsia" w:ascii="Times New Roman" w:hAnsi="Times New Roman" w:eastAsia="仿宋_GB2312" w:cs="仿宋_GB2312"/>
                <w:color w:val="auto"/>
                <w:kern w:val="0"/>
                <w:sz w:val="24"/>
                <w:szCs w:val="24"/>
                <w:lang w:bidi="ar"/>
              </w:rPr>
              <w:t>退休证明，每少缴一个，少得一分)。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提供执业医师、药师等专业技术人员以本医疗机构名义缴交基本医疗保险和社会养老保险的得5分 (退休人员提供退休证明，每少缴一个，少得一分)。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37" w:hRule="atLeast"/>
        </w:trPr>
        <w:tc>
          <w:tcPr>
            <w:tcW w:w="61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参加基本医疗保险情况</w:t>
            </w:r>
          </w:p>
        </w:tc>
        <w:tc>
          <w:tcPr>
            <w:tcW w:w="6807" w:type="dxa"/>
            <w:gridSpan w:val="3"/>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（1）全部在职员工参加职工基本医疗保险，并及时缴费，得5分。</w:t>
            </w:r>
          </w:p>
        </w:tc>
        <w:tc>
          <w:tcPr>
            <w:tcW w:w="4541" w:type="dxa"/>
            <w:gridSpan w:val="2"/>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r>
              <w:rPr>
                <w:rFonts w:hint="eastAsia" w:ascii="Times New Roman" w:hAnsi="Times New Roman" w:eastAsia="仿宋_GB2312" w:cs="仿宋_GB2312"/>
                <w:color w:val="auto"/>
                <w:kern w:val="0"/>
                <w:sz w:val="24"/>
                <w:szCs w:val="24"/>
                <w:highlight w:val="none"/>
                <w:lang w:bidi="ar"/>
              </w:rPr>
              <w:t>参加城镇居民基本医疗保险视</w:t>
            </w:r>
            <w:r>
              <w:rPr>
                <w:rFonts w:hint="eastAsia" w:eastAsia="仿宋_GB2312" w:cs="仿宋_GB2312"/>
                <w:color w:val="auto"/>
                <w:kern w:val="0"/>
                <w:sz w:val="24"/>
                <w:szCs w:val="24"/>
                <w:highlight w:val="none"/>
                <w:lang w:eastAsia="zh-CN" w:bidi="ar"/>
              </w:rPr>
              <w:t>同</w:t>
            </w:r>
            <w:r>
              <w:rPr>
                <w:rFonts w:hint="eastAsia" w:ascii="Times New Roman" w:hAnsi="Times New Roman" w:eastAsia="仿宋_GB2312" w:cs="仿宋_GB2312"/>
                <w:color w:val="auto"/>
                <w:kern w:val="0"/>
                <w:sz w:val="24"/>
                <w:szCs w:val="24"/>
                <w:highlight w:val="none"/>
                <w:lang w:bidi="ar"/>
              </w:rPr>
              <w:t>计算</w:t>
            </w:r>
            <w:r>
              <w:rPr>
                <w:rFonts w:hint="eastAsia" w:ascii="Times New Roman" w:hAnsi="Times New Roman" w:eastAsia="仿宋_GB2312" w:cs="仿宋_GB2312"/>
                <w:b/>
                <w:color w:val="auto"/>
                <w:kern w:val="0"/>
                <w:sz w:val="24"/>
                <w:szCs w:val="24"/>
                <w:highlight w:val="none"/>
                <w:lang w:bidi="ar"/>
              </w:rPr>
              <w:t>。</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55"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（2）90%以上在职员工参加职工基本医疗保险，并及时缴费，得4分。</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15"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（3）80%以上在职员工参加职工基本医疗保险保，并及时缴费，得3分。</w:t>
            </w:r>
          </w:p>
        </w:tc>
        <w:tc>
          <w:tcPr>
            <w:tcW w:w="4541" w:type="dxa"/>
            <w:gridSpan w:val="2"/>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27" w:hRule="atLeast"/>
        </w:trPr>
        <w:tc>
          <w:tcPr>
            <w:tcW w:w="61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r>
              <w:rPr>
                <w:rFonts w:hint="eastAsia" w:eastAsia="仿宋_GB2312" w:cs="仿宋_GB2312"/>
                <w:b w:val="0"/>
                <w:bCs/>
                <w:color w:val="auto"/>
                <w:kern w:val="0"/>
                <w:sz w:val="24"/>
                <w:szCs w:val="24"/>
                <w:highlight w:val="none"/>
                <w:lang w:eastAsia="zh-CN" w:bidi="ar"/>
              </w:rPr>
              <w:t>（</w:t>
            </w:r>
            <w:r>
              <w:rPr>
                <w:rFonts w:hint="eastAsia" w:eastAsia="仿宋_GB2312" w:cs="仿宋_GB2312"/>
                <w:b w:val="0"/>
                <w:bCs/>
                <w:color w:val="auto"/>
                <w:kern w:val="0"/>
                <w:sz w:val="24"/>
                <w:szCs w:val="24"/>
                <w:highlight w:val="none"/>
                <w:lang w:val="en-US" w:eastAsia="zh-CN" w:bidi="ar"/>
              </w:rPr>
              <w:t>4</w:t>
            </w:r>
            <w:r>
              <w:rPr>
                <w:rFonts w:hint="eastAsia" w:eastAsia="仿宋_GB2312" w:cs="仿宋_GB2312"/>
                <w:b w:val="0"/>
                <w:bCs/>
                <w:color w:val="auto"/>
                <w:kern w:val="0"/>
                <w:sz w:val="24"/>
                <w:szCs w:val="24"/>
                <w:highlight w:val="none"/>
                <w:lang w:eastAsia="zh-CN" w:bidi="ar"/>
              </w:rPr>
              <w:t>）</w:t>
            </w:r>
            <w:r>
              <w:rPr>
                <w:rFonts w:hint="eastAsia" w:ascii="Times New Roman" w:hAnsi="Times New Roman" w:eastAsia="仿宋_GB2312" w:cs="仿宋_GB2312"/>
                <w:b w:val="0"/>
                <w:bCs/>
                <w:color w:val="auto"/>
                <w:kern w:val="0"/>
                <w:sz w:val="24"/>
                <w:szCs w:val="24"/>
                <w:highlight w:val="none"/>
                <w:lang w:bidi="ar"/>
              </w:rPr>
              <w:t>不足80%在职员工参加职工基本医疗保险的，得</w:t>
            </w:r>
            <w:r>
              <w:rPr>
                <w:rFonts w:hint="eastAsia" w:eastAsia="仿宋_GB2312" w:cs="仿宋_GB2312"/>
                <w:b w:val="0"/>
                <w:bCs/>
                <w:color w:val="auto"/>
                <w:kern w:val="0"/>
                <w:sz w:val="24"/>
                <w:szCs w:val="24"/>
                <w:highlight w:val="none"/>
                <w:lang w:val="en-US" w:eastAsia="zh-CN" w:bidi="ar"/>
              </w:rPr>
              <w:t>0</w:t>
            </w:r>
            <w:r>
              <w:rPr>
                <w:rFonts w:hint="eastAsia" w:eastAsia="仿宋_GB2312" w:cs="仿宋_GB2312"/>
                <w:b w:val="0"/>
                <w:bCs/>
                <w:color w:val="auto"/>
                <w:kern w:val="0"/>
                <w:sz w:val="24"/>
                <w:szCs w:val="24"/>
                <w:highlight w:val="none"/>
                <w:lang w:eastAsia="zh-CN" w:bidi="ar"/>
              </w:rPr>
              <w:t>分</w:t>
            </w:r>
            <w:r>
              <w:rPr>
                <w:rFonts w:hint="eastAsia" w:ascii="Times New Roman" w:hAnsi="Times New Roman" w:eastAsia="仿宋_GB2312" w:cs="仿宋_GB2312"/>
                <w:b w:val="0"/>
                <w:bCs/>
                <w:color w:val="auto"/>
                <w:kern w:val="0"/>
                <w:sz w:val="24"/>
                <w:szCs w:val="24"/>
                <w:highlight w:val="none"/>
                <w:lang w:bidi="ar"/>
              </w:rPr>
              <w:t>。</w:t>
            </w:r>
          </w:p>
        </w:tc>
        <w:tc>
          <w:tcPr>
            <w:tcW w:w="4541" w:type="dxa"/>
            <w:gridSpan w:val="2"/>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highlight w:val="none"/>
              </w:rPr>
            </w:pPr>
          </w:p>
        </w:tc>
        <w:tc>
          <w:tcPr>
            <w:tcW w:w="650"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75"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5</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财务管理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制度</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有健全和完善</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财务管理制度，对医疗机构财务活动进行全面管理，建立监督内控机制的，得2分。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有健全和完善</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财务管理制度，对医疗机构财务活动进行全面管理</w:t>
            </w:r>
            <w:r>
              <w:rPr>
                <w:rFonts w:hint="eastAsia" w:ascii="Times New Roman" w:hAnsi="Times New Roman" w:eastAsia="仿宋_GB2312" w:cs="仿宋_GB2312"/>
                <w:color w:val="auto"/>
                <w:kern w:val="0"/>
                <w:sz w:val="24"/>
                <w:szCs w:val="24"/>
                <w:lang w:eastAsia="zh-CN" w:bidi="ar"/>
              </w:rPr>
              <w:t>的</w:t>
            </w:r>
            <w:r>
              <w:rPr>
                <w:rFonts w:hint="eastAsia" w:ascii="Times New Roman" w:hAnsi="Times New Roman" w:eastAsia="仿宋_GB2312" w:cs="仿宋_GB2312"/>
                <w:color w:val="auto"/>
                <w:kern w:val="0"/>
                <w:sz w:val="24"/>
                <w:szCs w:val="24"/>
                <w:lang w:bidi="ar"/>
              </w:rPr>
              <w:t>，得2分。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99"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6</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财务人员</w:t>
            </w:r>
          </w:p>
        </w:tc>
        <w:tc>
          <w:tcPr>
            <w:tcW w:w="6807" w:type="dxa"/>
            <w:gridSpan w:val="3"/>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根据医疗机构规模，设置相应独立的财会机构，配备相应的会计、出纳人员，得2分。</w:t>
            </w:r>
          </w:p>
        </w:tc>
        <w:tc>
          <w:tcPr>
            <w:tcW w:w="4541" w:type="dxa"/>
            <w:gridSpan w:val="2"/>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根据医疗机构规模，配备相应的财务管理人员，得2分。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841" w:hRule="atLeast"/>
        </w:trPr>
        <w:tc>
          <w:tcPr>
            <w:tcW w:w="61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w:t>
            </w:r>
            <w:r>
              <w:rPr>
                <w:rFonts w:hint="eastAsia" w:ascii="Times New Roman" w:hAnsi="Times New Roman" w:eastAsia="仿宋_GB2312" w:cs="仿宋_GB2312"/>
                <w:color w:val="auto"/>
                <w:kern w:val="0"/>
                <w:sz w:val="24"/>
                <w:szCs w:val="24"/>
                <w:lang w:val="en-US" w:eastAsia="zh-CN" w:bidi="ar"/>
              </w:rPr>
              <w:t>7</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财务结算</w:t>
            </w:r>
          </w:p>
        </w:tc>
        <w:tc>
          <w:tcPr>
            <w:tcW w:w="6807" w:type="dxa"/>
            <w:gridSpan w:val="3"/>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财务票据齐全、合法，且安装使用电子收费系统的，得2分</w:t>
            </w:r>
            <w:r>
              <w:rPr>
                <w:rFonts w:hint="eastAsia" w:eastAsia="仿宋_GB2312" w:cs="仿宋_GB2312"/>
                <w:color w:val="auto"/>
                <w:kern w:val="0"/>
                <w:sz w:val="24"/>
                <w:szCs w:val="24"/>
                <w:lang w:eastAsia="zh-CN" w:bidi="ar"/>
              </w:rPr>
              <w:t>。</w:t>
            </w:r>
          </w:p>
        </w:tc>
        <w:tc>
          <w:tcPr>
            <w:tcW w:w="4541" w:type="dxa"/>
            <w:gridSpan w:val="2"/>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财务票据齐全、合规，得2分</w:t>
            </w:r>
            <w:r>
              <w:rPr>
                <w:rFonts w:hint="eastAsia" w:eastAsia="仿宋_GB2312" w:cs="仿宋_GB2312"/>
                <w:color w:val="auto"/>
                <w:kern w:val="0"/>
                <w:sz w:val="24"/>
                <w:szCs w:val="24"/>
                <w:lang w:eastAsia="zh-CN" w:bidi="ar"/>
              </w:rPr>
              <w:t>。</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4"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val="en-US" w:eastAsia="zh-CN" w:bidi="ar"/>
              </w:rPr>
            </w:pPr>
            <w:r>
              <w:rPr>
                <w:rFonts w:hint="eastAsia" w:ascii="Times New Roman" w:hAnsi="Times New Roman" w:eastAsia="仿宋_GB2312" w:cs="仿宋_GB2312"/>
                <w:b/>
                <w:color w:val="auto"/>
                <w:kern w:val="0"/>
                <w:sz w:val="24"/>
                <w:szCs w:val="24"/>
                <w:lang w:bidi="ar"/>
              </w:rPr>
              <w:t>序号</w:t>
            </w:r>
          </w:p>
        </w:tc>
        <w:tc>
          <w:tcPr>
            <w:tcW w:w="1984"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b/>
                <w:color w:val="auto"/>
                <w:kern w:val="0"/>
                <w:sz w:val="24"/>
                <w:szCs w:val="24"/>
                <w:lang w:bidi="ar"/>
              </w:rPr>
              <w:t>评估项目</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评估标准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得分</w:t>
            </w:r>
          </w:p>
        </w:tc>
      </w:tr>
      <w:tr>
        <w:tblPrEx>
          <w:tblCellMar>
            <w:top w:w="0" w:type="dxa"/>
            <w:left w:w="0" w:type="dxa"/>
            <w:bottom w:w="0" w:type="dxa"/>
            <w:right w:w="0" w:type="dxa"/>
          </w:tblCellMar>
        </w:tblPrEx>
        <w:trPr>
          <w:trHeight w:val="444"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val="en-US" w:eastAsia="zh-CN" w:bidi="ar"/>
              </w:rPr>
            </w:pPr>
          </w:p>
        </w:tc>
        <w:tc>
          <w:tcPr>
            <w:tcW w:w="1984"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Times New Roman" w:hAnsi="Times New Roman" w:eastAsia="仿宋_GB2312" w:cs="仿宋_GB2312"/>
                <w:color w:val="auto"/>
                <w:kern w:val="0"/>
                <w:sz w:val="24"/>
                <w:szCs w:val="24"/>
                <w:lang w:bidi="ar"/>
              </w:rPr>
            </w:pP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二级及以上住院医疗机构（综合，含中医院）</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一级住院医疗机构（综合，含中医院）</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（专科）</w:t>
            </w:r>
          </w:p>
        </w:tc>
        <w:tc>
          <w:tcPr>
            <w:tcW w:w="22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_GB2312" w:cs="仿宋_GB2312"/>
                <w:b/>
                <w:color w:val="auto"/>
                <w:kern w:val="0"/>
                <w:sz w:val="24"/>
                <w:szCs w:val="24"/>
                <w:lang w:bidi="ar"/>
              </w:rPr>
            </w:pPr>
            <w:r>
              <w:rPr>
                <w:rFonts w:hint="eastAsia" w:ascii="Times New Roman" w:hAnsi="Times New Roman" w:eastAsia="仿宋_GB2312" w:cs="仿宋_GB2312"/>
                <w:b/>
                <w:color w:val="auto"/>
                <w:kern w:val="0"/>
                <w:sz w:val="24"/>
                <w:szCs w:val="24"/>
                <w:lang w:bidi="ar"/>
              </w:rPr>
              <w:t>门诊医疗机构</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（综合）</w:t>
            </w:r>
          </w:p>
        </w:tc>
        <w:tc>
          <w:tcPr>
            <w:tcW w:w="22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Times New Roman" w:hAnsi="Times New Roman" w:eastAsia="仿宋_GB2312" w:cs="仿宋_GB2312"/>
                <w:color w:val="auto"/>
                <w:kern w:val="0"/>
                <w:sz w:val="24"/>
                <w:szCs w:val="24"/>
                <w:lang w:eastAsia="zh-CN" w:bidi="ar"/>
              </w:rPr>
            </w:pPr>
            <w:r>
              <w:rPr>
                <w:rFonts w:hint="eastAsia" w:ascii="Times New Roman" w:hAnsi="Times New Roman" w:eastAsia="仿宋_GB2312" w:cs="仿宋_GB2312"/>
                <w:b/>
                <w:color w:val="auto"/>
                <w:kern w:val="0"/>
                <w:sz w:val="24"/>
                <w:szCs w:val="24"/>
                <w:lang w:bidi="ar"/>
              </w:rPr>
              <w:t>门诊医疗机构（专科，含个体诊所）</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444"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28</w:t>
            </w:r>
          </w:p>
        </w:tc>
        <w:tc>
          <w:tcPr>
            <w:tcW w:w="98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信息</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（13分）</w:t>
            </w:r>
          </w:p>
        </w:tc>
        <w:tc>
          <w:tcPr>
            <w:tcW w:w="10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计算机配备使用</w:t>
            </w: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eastAsia="zh-CN" w:bidi="ar"/>
              </w:rPr>
              <w:t>能够确保</w:t>
            </w:r>
            <w:r>
              <w:rPr>
                <w:rFonts w:hint="eastAsia" w:ascii="Times New Roman" w:hAnsi="Times New Roman" w:eastAsia="仿宋_GB2312" w:cs="仿宋_GB2312"/>
                <w:color w:val="auto"/>
                <w:kern w:val="0"/>
                <w:sz w:val="24"/>
                <w:szCs w:val="24"/>
                <w:lang w:bidi="ar"/>
              </w:rPr>
              <w:t>按照医疗保障业务要求</w:t>
            </w:r>
            <w:r>
              <w:rPr>
                <w:rFonts w:hint="eastAsia" w:ascii="Times New Roman" w:hAnsi="Times New Roman" w:eastAsia="仿宋_GB2312" w:cs="仿宋_GB2312"/>
                <w:color w:val="auto"/>
                <w:kern w:val="0"/>
                <w:sz w:val="24"/>
                <w:szCs w:val="24"/>
                <w:lang w:eastAsia="zh-CN" w:bidi="ar"/>
              </w:rPr>
              <w:t>，在通过定点评估后</w:t>
            </w:r>
            <w:r>
              <w:rPr>
                <w:rFonts w:hint="eastAsia" w:ascii="Times New Roman" w:hAnsi="Times New Roman" w:eastAsia="仿宋_GB2312" w:cs="仿宋_GB2312"/>
                <w:color w:val="auto"/>
                <w:kern w:val="0"/>
                <w:sz w:val="24"/>
                <w:szCs w:val="24"/>
                <w:lang w:bidi="ar"/>
              </w:rPr>
              <w:t>配置必要的电脑、打印、医保卡（社保卡）刷卡</w:t>
            </w:r>
            <w:r>
              <w:rPr>
                <w:rFonts w:hint="eastAsia" w:eastAsia="仿宋_GB2312" w:cs="仿宋_GB2312"/>
                <w:color w:val="auto"/>
                <w:kern w:val="0"/>
                <w:sz w:val="24"/>
                <w:szCs w:val="24"/>
                <w:lang w:eastAsia="zh-CN" w:bidi="ar"/>
              </w:rPr>
              <w:t>扫码</w:t>
            </w:r>
            <w:r>
              <w:rPr>
                <w:rFonts w:hint="eastAsia" w:ascii="Times New Roman" w:hAnsi="Times New Roman" w:eastAsia="仿宋_GB2312" w:cs="仿宋_GB2312"/>
                <w:color w:val="auto"/>
                <w:kern w:val="0"/>
                <w:sz w:val="24"/>
                <w:szCs w:val="24"/>
                <w:lang w:bidi="ar"/>
              </w:rPr>
              <w:t>设备和熟练操作人员的，得2分。</w:t>
            </w:r>
          </w:p>
        </w:tc>
        <w:tc>
          <w:tcPr>
            <w:tcW w:w="650"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956"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kern w:val="0"/>
                <w:sz w:val="24"/>
                <w:szCs w:val="24"/>
                <w:lang w:val="en-US" w:eastAsia="zh-CN" w:bidi="ar"/>
              </w:rPr>
              <w:t>29</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医疗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信息化</w:t>
            </w:r>
          </w:p>
        </w:tc>
        <w:tc>
          <w:tcPr>
            <w:tcW w:w="11348" w:type="dxa"/>
            <w:gridSpan w:val="5"/>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对医疗服务过程实行全流程信息化管理的，设立医保药品、诊疗项目、医疗服务设施、医用耗材、疾病病种、医保医师等基础数据库，按规定使用国家统一的医保编码得4分。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65" w:hRule="atLeast"/>
        </w:trPr>
        <w:tc>
          <w:tcPr>
            <w:tcW w:w="61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w:t>
            </w:r>
            <w:r>
              <w:rPr>
                <w:rFonts w:hint="eastAsia" w:ascii="Times New Roman" w:hAnsi="Times New Roman" w:eastAsia="仿宋_GB2312" w:cs="仿宋_GB2312"/>
                <w:color w:val="auto"/>
                <w:kern w:val="0"/>
                <w:sz w:val="24"/>
                <w:szCs w:val="24"/>
                <w:lang w:val="en-US" w:eastAsia="zh-CN" w:bidi="ar"/>
              </w:rPr>
              <w:t>0</w:t>
            </w: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联网结算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能力</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能够适应医保信息化和网络安全管理建设要求，具有医保联网结算能力，得2分。</w:t>
            </w:r>
          </w:p>
        </w:tc>
        <w:tc>
          <w:tcPr>
            <w:tcW w:w="650"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43" w:hRule="atLeast"/>
        </w:trPr>
        <w:tc>
          <w:tcPr>
            <w:tcW w:w="618"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3</w:t>
            </w:r>
            <w:r>
              <w:rPr>
                <w:rFonts w:hint="eastAsia" w:ascii="Times New Roman" w:hAnsi="Times New Roman" w:eastAsia="仿宋_GB2312" w:cs="仿宋_GB2312"/>
                <w:color w:val="auto"/>
                <w:kern w:val="0"/>
                <w:sz w:val="24"/>
                <w:szCs w:val="24"/>
                <w:lang w:val="en-US" w:eastAsia="zh-CN" w:bidi="ar"/>
              </w:rPr>
              <w:t>1</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对药品、医用材料的采购、验收、销售等环节实行计算机实时管理情况</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（1）已实时录入全部环节数据并可查询3个月以上时间的本</w:t>
            </w:r>
            <w:r>
              <w:rPr>
                <w:rFonts w:hint="eastAsia" w:eastAsia="仿宋_GB2312" w:cs="仿宋_GB2312"/>
                <w:color w:val="auto"/>
                <w:kern w:val="0"/>
                <w:sz w:val="24"/>
                <w:szCs w:val="24"/>
                <w:lang w:eastAsia="zh-CN" w:bidi="ar"/>
              </w:rPr>
              <w:t>医疗机构</w:t>
            </w:r>
            <w:r>
              <w:rPr>
                <w:rFonts w:hint="eastAsia" w:ascii="Times New Roman" w:hAnsi="Times New Roman" w:eastAsia="仿宋_GB2312" w:cs="仿宋_GB2312"/>
                <w:color w:val="auto"/>
                <w:kern w:val="0"/>
                <w:sz w:val="24"/>
                <w:szCs w:val="24"/>
                <w:lang w:bidi="ar"/>
              </w:rPr>
              <w:t>的真实数据，得5分</w:t>
            </w:r>
            <w:r>
              <w:rPr>
                <w:rFonts w:hint="eastAsia" w:eastAsia="仿宋_GB2312" w:cs="仿宋_GB2312"/>
                <w:color w:val="auto"/>
                <w:kern w:val="0"/>
                <w:sz w:val="24"/>
                <w:szCs w:val="24"/>
                <w:lang w:eastAsia="zh-CN" w:bidi="ar"/>
              </w:rPr>
              <w:t>。</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67"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kern w:val="0"/>
                <w:sz w:val="24"/>
                <w:szCs w:val="24"/>
                <w:lang w:bidi="ar"/>
              </w:rPr>
              <w:t>（2）已实时录入全部环节数据并可查询1至3个月以内的本</w:t>
            </w:r>
            <w:r>
              <w:rPr>
                <w:rFonts w:hint="eastAsia" w:eastAsia="仿宋_GB2312" w:cs="仿宋_GB2312"/>
                <w:color w:val="auto"/>
                <w:kern w:val="0"/>
                <w:sz w:val="24"/>
                <w:szCs w:val="24"/>
                <w:lang w:eastAsia="zh-CN" w:bidi="ar"/>
              </w:rPr>
              <w:t>医疗机构</w:t>
            </w:r>
            <w:r>
              <w:rPr>
                <w:rFonts w:hint="eastAsia" w:ascii="Times New Roman" w:hAnsi="Times New Roman" w:eastAsia="仿宋_GB2312" w:cs="仿宋_GB2312"/>
                <w:color w:val="auto"/>
                <w:kern w:val="0"/>
                <w:sz w:val="24"/>
                <w:szCs w:val="24"/>
                <w:lang w:bidi="ar"/>
              </w:rPr>
              <w:t>的真实数据，得3分</w:t>
            </w:r>
            <w:r>
              <w:rPr>
                <w:rFonts w:hint="eastAsia" w:eastAsia="仿宋_GB2312" w:cs="仿宋_GB2312"/>
                <w:color w:val="auto"/>
                <w:kern w:val="0"/>
                <w:sz w:val="24"/>
                <w:szCs w:val="24"/>
                <w:lang w:eastAsia="zh-CN" w:bidi="ar"/>
              </w:rPr>
              <w:t>。</w:t>
            </w: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547"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抽查5个药品，药品进、销、存账物不符的，每发现一个品种扣1分，累计计算，最多扣5分。</w:t>
            </w:r>
          </w:p>
        </w:tc>
        <w:tc>
          <w:tcPr>
            <w:tcW w:w="650" w:type="dxa"/>
            <w:vMerge w:val="continue"/>
            <w:tcBorders>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59" w:hRule="atLeast"/>
        </w:trPr>
        <w:tc>
          <w:tcPr>
            <w:tcW w:w="618"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980"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不具备条件对药品进销存管理并将数据实时上传至医疗保障信息系统的，不得纳入医保定点。</w:t>
            </w:r>
          </w:p>
        </w:tc>
        <w:tc>
          <w:tcPr>
            <w:tcW w:w="650"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705"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2</w:t>
            </w:r>
          </w:p>
        </w:tc>
        <w:tc>
          <w:tcPr>
            <w:tcW w:w="980"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评价</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（7分）</w:t>
            </w: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慈善公益</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服务</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医疗机构提交定点申请前三年内开展慈善公益服务或疫情等公共事件中表现突出，提供相关佐证材料得2分，如在县级以上媒体正面报道的另得1分。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390" w:hRule="atLeast"/>
        </w:trPr>
        <w:tc>
          <w:tcPr>
            <w:tcW w:w="61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3</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社会诚信    记录</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医疗机构提交定点申请前一年内</w:t>
            </w:r>
            <w:r>
              <w:rPr>
                <w:rFonts w:hint="eastAsia" w:ascii="Times New Roman" w:hAnsi="Times New Roman" w:eastAsia="仿宋_GB2312" w:cs="仿宋_GB2312"/>
                <w:color w:val="auto"/>
                <w:kern w:val="0"/>
                <w:sz w:val="24"/>
                <w:szCs w:val="24"/>
                <w:lang w:eastAsia="zh-CN" w:bidi="ar"/>
              </w:rPr>
              <w:t>，</w:t>
            </w:r>
            <w:r>
              <w:rPr>
                <w:rFonts w:hint="eastAsia" w:ascii="Times New Roman" w:hAnsi="Times New Roman" w:eastAsia="仿宋_GB2312" w:cs="仿宋_GB2312"/>
                <w:color w:val="auto"/>
                <w:kern w:val="0"/>
                <w:sz w:val="24"/>
                <w:szCs w:val="24"/>
                <w:lang w:bidi="ar"/>
              </w:rPr>
              <w:t>查询无社会诚信不良记录的，得3分。</w:t>
            </w:r>
          </w:p>
        </w:tc>
        <w:tc>
          <w:tcPr>
            <w:tcW w:w="650"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89" w:hRule="atLeast"/>
        </w:trPr>
        <w:tc>
          <w:tcPr>
            <w:tcW w:w="618"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color w:val="auto"/>
                <w:sz w:val="24"/>
                <w:szCs w:val="24"/>
                <w:lang w:eastAsia="zh-CN"/>
              </w:rPr>
            </w:pP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b/>
                <w:color w:val="auto"/>
                <w:sz w:val="24"/>
                <w:szCs w:val="24"/>
              </w:rPr>
            </w:pPr>
            <w:r>
              <w:rPr>
                <w:rFonts w:hint="eastAsia" w:ascii="Times New Roman" w:hAnsi="Times New Roman" w:eastAsia="仿宋_GB2312" w:cs="仿宋_GB2312"/>
                <w:b/>
                <w:color w:val="auto"/>
                <w:kern w:val="0"/>
                <w:sz w:val="24"/>
                <w:szCs w:val="24"/>
                <w:lang w:bidi="ar"/>
              </w:rPr>
              <w:t>医疗机构或法定代表人、主要负责人、实际控制人被列入社会失信名单，被行政处罚或责令整改处于处罚整改期等属于不予受理定点申请情形之一的，不得纳入医保定点。</w:t>
            </w:r>
          </w:p>
        </w:tc>
        <w:tc>
          <w:tcPr>
            <w:tcW w:w="650" w:type="dxa"/>
            <w:vMerge w:val="continue"/>
            <w:tcBorders>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634" w:hRule="atLeast"/>
        </w:trPr>
        <w:tc>
          <w:tcPr>
            <w:tcW w:w="61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34</w:t>
            </w:r>
          </w:p>
        </w:tc>
        <w:tc>
          <w:tcPr>
            <w:tcW w:w="980"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p>
        </w:tc>
        <w:tc>
          <w:tcPr>
            <w:tcW w:w="1004"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kern w:val="0"/>
                <w:sz w:val="24"/>
                <w:szCs w:val="24"/>
                <w:lang w:bidi="ar"/>
              </w:rPr>
            </w:pPr>
            <w:r>
              <w:rPr>
                <w:rFonts w:hint="eastAsia" w:ascii="Times New Roman" w:hAnsi="Times New Roman" w:eastAsia="仿宋_GB2312" w:cs="仿宋_GB2312"/>
                <w:color w:val="auto"/>
                <w:kern w:val="0"/>
                <w:sz w:val="24"/>
                <w:szCs w:val="24"/>
                <w:lang w:bidi="ar"/>
              </w:rPr>
              <w:t>获得荣誉</w:t>
            </w:r>
          </w:p>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表彰情况</w:t>
            </w:r>
          </w:p>
        </w:tc>
        <w:tc>
          <w:tcPr>
            <w:tcW w:w="11348" w:type="dxa"/>
            <w:gridSpan w:val="5"/>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医疗机构提交定点申请前三年内被县（市、区）级以上行政监管部门表彰的得1分。</w:t>
            </w:r>
          </w:p>
        </w:tc>
        <w:tc>
          <w:tcPr>
            <w:tcW w:w="650"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imes New Roman" w:hAnsi="Times New Roman" w:eastAsia="仿宋_GB2312" w:cs="仿宋_GB2312"/>
                <w:color w:val="auto"/>
                <w:sz w:val="24"/>
                <w:szCs w:val="24"/>
              </w:rPr>
            </w:pPr>
          </w:p>
        </w:tc>
      </w:tr>
      <w:tr>
        <w:tblPrEx>
          <w:tblCellMar>
            <w:top w:w="0" w:type="dxa"/>
            <w:left w:w="0" w:type="dxa"/>
            <w:bottom w:w="0" w:type="dxa"/>
            <w:right w:w="0" w:type="dxa"/>
          </w:tblCellMar>
        </w:tblPrEx>
        <w:trPr>
          <w:trHeight w:val="240" w:hRule="atLeast"/>
        </w:trPr>
        <w:tc>
          <w:tcPr>
            <w:tcW w:w="14600" w:type="dxa"/>
            <w:gridSpan w:val="9"/>
            <w:tcBorders>
              <w:top w:val="single" w:color="404040" w:sz="4" w:space="0"/>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color w:val="auto"/>
                <w:sz w:val="24"/>
                <w:szCs w:val="24"/>
              </w:rPr>
            </w:pPr>
          </w:p>
        </w:tc>
      </w:tr>
    </w:tbl>
    <w:p>
      <w:pPr>
        <w:pStyle w:val="8"/>
        <w:keepNext w:val="0"/>
        <w:keepLines w:val="0"/>
        <w:widowControl w:val="0"/>
        <w:shd w:val="clear" w:color="auto" w:fill="auto"/>
        <w:bidi w:val="0"/>
        <w:spacing w:before="0" w:after="0" w:line="608" w:lineRule="exact"/>
        <w:ind w:left="0" w:leftChars="0" w:right="0" w:firstLine="0" w:firstLineChars="0"/>
        <w:jc w:val="both"/>
        <w:rPr>
          <w:rFonts w:hint="eastAsia" w:ascii="仿宋_GB2312" w:hAnsi="仿宋_GB2312" w:eastAsia="仿宋_GB2312" w:cs="仿宋_GB2312"/>
          <w:color w:val="auto"/>
          <w:spacing w:val="0"/>
          <w:w w:val="100"/>
          <w:position w:val="0"/>
          <w:sz w:val="32"/>
          <w:szCs w:val="32"/>
          <w:lang w:eastAsia="zh-CN"/>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pPr w:leftFromText="180" w:rightFromText="180" w:vertAnchor="text" w:horzAnchor="page" w:tblpX="839" w:tblpY="-14"/>
        <w:tblOverlap w:val="never"/>
        <w:tblW w:w="10496" w:type="dxa"/>
        <w:jc w:val="center"/>
        <w:tblLayout w:type="fixed"/>
        <w:tblCellMar>
          <w:top w:w="0" w:type="dxa"/>
          <w:left w:w="0" w:type="dxa"/>
          <w:bottom w:w="0" w:type="dxa"/>
          <w:right w:w="0" w:type="dxa"/>
        </w:tblCellMar>
      </w:tblPr>
      <w:tblGrid>
        <w:gridCol w:w="558"/>
        <w:gridCol w:w="1098"/>
        <w:gridCol w:w="1532"/>
        <w:gridCol w:w="6501"/>
        <w:gridCol w:w="807"/>
      </w:tblGrid>
      <w:tr>
        <w:tblPrEx>
          <w:tblCellMar>
            <w:top w:w="0" w:type="dxa"/>
            <w:left w:w="0" w:type="dxa"/>
            <w:bottom w:w="0" w:type="dxa"/>
            <w:right w:w="0" w:type="dxa"/>
          </w:tblCellMar>
        </w:tblPrEx>
        <w:trPr>
          <w:trHeight w:val="560" w:hRule="atLeast"/>
          <w:jc w:val="center"/>
        </w:trPr>
        <w:tc>
          <w:tcPr>
            <w:tcW w:w="10496" w:type="dxa"/>
            <w:gridSpan w:val="5"/>
            <w:tcBorders>
              <w:top w:val="nil"/>
              <w:left w:val="nil"/>
              <w:bottom w:val="single" w:color="auto" w:sz="4" w:space="0"/>
              <w:right w:val="nil"/>
            </w:tcBorders>
            <w:tcMar>
              <w:top w:w="15" w:type="dxa"/>
              <w:left w:w="15" w:type="dxa"/>
              <w:right w:w="15" w:type="dxa"/>
            </w:tcMar>
            <w:vAlign w:val="center"/>
          </w:tcPr>
          <w:p>
            <w:pPr>
              <w:shd w:val="clear" w:color="auto" w:fill="auto"/>
              <w:spacing w:line="560" w:lineRule="exact"/>
              <w:jc w:val="both"/>
              <w:outlineLvl w:val="9"/>
              <w:rPr>
                <w:rFonts w:hint="eastAsia" w:ascii="黑体" w:hAnsi="黑体" w:eastAsia="黑体" w:cs="黑体"/>
                <w:color w:val="auto"/>
                <w:sz w:val="32"/>
                <w:szCs w:val="32"/>
                <w:lang w:val="en-US" w:eastAsia="zh-CN" w:bidi="ar"/>
              </w:rPr>
            </w:pPr>
            <w:r>
              <w:rPr>
                <w:rFonts w:hint="eastAsia" w:ascii="黑体" w:hAnsi="黑体" w:eastAsia="黑体" w:cs="黑体"/>
                <w:color w:val="auto"/>
                <w:sz w:val="32"/>
                <w:szCs w:val="32"/>
                <w:lang w:eastAsia="zh-CN" w:bidi="ar"/>
              </w:rPr>
              <w:t>附件</w:t>
            </w:r>
            <w:r>
              <w:rPr>
                <w:rFonts w:hint="eastAsia" w:ascii="黑体" w:hAnsi="黑体" w:eastAsia="黑体" w:cs="黑体"/>
                <w:color w:val="auto"/>
                <w:sz w:val="32"/>
                <w:szCs w:val="32"/>
                <w:lang w:val="en-US" w:eastAsia="zh-CN" w:bidi="ar"/>
              </w:rPr>
              <w:t>6</w:t>
            </w:r>
          </w:p>
          <w:p>
            <w:pPr>
              <w:pageBreakBefore w:val="0"/>
              <w:widowControl w:val="0"/>
              <w:shd w:val="clear" w:color="auto" w:fill="auto"/>
              <w:kinsoku/>
              <w:wordWrap/>
              <w:overflowPunct/>
              <w:topLinePunct w:val="0"/>
              <w:autoSpaceDE/>
              <w:autoSpaceDN/>
              <w:bidi w:val="0"/>
              <w:adjustRightInd/>
              <w:snapToGrid/>
              <w:spacing w:before="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赣州市医疗保障定点零售药店综合评估表</w:t>
            </w:r>
          </w:p>
          <w:p>
            <w:pPr>
              <w:pStyle w:val="2"/>
              <w:pageBreakBefore w:val="0"/>
              <w:widowControl w:val="0"/>
              <w:kinsoku/>
              <w:wordWrap/>
              <w:overflowPunct/>
              <w:topLinePunct w:val="0"/>
              <w:autoSpaceDE/>
              <w:autoSpaceDN/>
              <w:bidi w:val="0"/>
              <w:adjustRightInd/>
              <w:snapToGrid/>
              <w:spacing w:before="0" w:beforeLines="0" w:line="56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560" w:lineRule="exact"/>
              <w:jc w:val="both"/>
              <w:textAlignment w:val="center"/>
              <w:outlineLvl w:val="9"/>
              <w:rPr>
                <w:rFonts w:hint="eastAsia" w:ascii="Times New Roman" w:hAnsi="Times New Roman" w:eastAsia="仿宋_GB2312" w:cs="仿宋_GB2312"/>
                <w:color w:val="404040"/>
                <w:kern w:val="0"/>
                <w:sz w:val="24"/>
                <w:szCs w:val="24"/>
                <w:lang w:bidi="ar"/>
              </w:rPr>
            </w:pPr>
            <w:r>
              <w:rPr>
                <w:rFonts w:hint="eastAsia" w:ascii="仿宋_GB2312" w:hAnsi="仿宋_GB2312" w:eastAsia="仿宋_GB2312" w:cs="仿宋_GB2312"/>
              </w:rPr>
              <w:t xml:space="preserve">药店名称：             评估时间：       评估专家：      总分：100分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得分：</w:t>
            </w:r>
          </w:p>
        </w:tc>
      </w:tr>
      <w:tr>
        <w:tblPrEx>
          <w:tblCellMar>
            <w:top w:w="0" w:type="dxa"/>
            <w:left w:w="0" w:type="dxa"/>
            <w:bottom w:w="0" w:type="dxa"/>
            <w:right w:w="0" w:type="dxa"/>
          </w:tblCellMar>
        </w:tblPrEx>
        <w:trPr>
          <w:trHeight w:val="560"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序号</w:t>
            </w:r>
          </w:p>
        </w:tc>
        <w:tc>
          <w:tcPr>
            <w:tcW w:w="2630" w:type="dxa"/>
            <w:gridSpan w:val="2"/>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评估项目</w:t>
            </w:r>
          </w:p>
        </w:tc>
        <w:tc>
          <w:tcPr>
            <w:tcW w:w="6501"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评估标准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b/>
                <w:bCs/>
              </w:rPr>
            </w:pPr>
            <w:r>
              <w:rPr>
                <w:rFonts w:hint="eastAsia" w:ascii="仿宋_GB2312" w:hAnsi="仿宋_GB2312" w:eastAsia="仿宋_GB2312" w:cs="仿宋_GB2312"/>
                <w:b/>
                <w:bCs/>
              </w:rPr>
              <w:t>得分</w:t>
            </w:r>
          </w:p>
        </w:tc>
      </w:tr>
      <w:tr>
        <w:tblPrEx>
          <w:tblCellMar>
            <w:top w:w="0" w:type="dxa"/>
            <w:left w:w="0" w:type="dxa"/>
            <w:bottom w:w="0" w:type="dxa"/>
            <w:right w:w="0" w:type="dxa"/>
          </w:tblCellMar>
        </w:tblPrEx>
        <w:trPr>
          <w:trHeight w:val="488" w:hRule="atLeast"/>
          <w:jc w:val="center"/>
        </w:trPr>
        <w:tc>
          <w:tcPr>
            <w:tcW w:w="558" w:type="dxa"/>
            <w:vMerge w:val="restart"/>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098" w:type="dxa"/>
            <w:vMerge w:val="restart"/>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规划布局（10分）</w:t>
            </w: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开业时间</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（1）1年以上，得2分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70" w:hRule="atLeast"/>
          <w:jc w:val="center"/>
        </w:trPr>
        <w:tc>
          <w:tcPr>
            <w:tcW w:w="558" w:type="dxa"/>
            <w:vMerge w:val="continue"/>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（2）3个月至1年以内的，得1分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6" w:hRule="atLeast"/>
          <w:jc w:val="center"/>
        </w:trPr>
        <w:tc>
          <w:tcPr>
            <w:tcW w:w="558" w:type="dxa"/>
            <w:vMerge w:val="continue"/>
            <w:tcBorders>
              <w:top w:val="nil"/>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b/>
                <w:bCs/>
              </w:rPr>
              <w:t>开业正式运营3个月以内的，不得纳入医保定点。</w:t>
            </w:r>
            <w:r>
              <w:rPr>
                <w:rFonts w:hint="eastAsia" w:ascii="仿宋_GB2312" w:hAnsi="仿宋_GB2312" w:eastAsia="仿宋_GB2312" w:cs="仿宋_GB2312"/>
                <w:b/>
                <w:bCs/>
                <w:lang w:eastAsia="zh-CN"/>
              </w:rPr>
              <w:t>（以药品经营许可证的发证时间为准）</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32"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营业场所使用时间</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（1）根据</w:t>
            </w:r>
            <w:r>
              <w:rPr>
                <w:rFonts w:hint="eastAsia" w:ascii="仿宋_GB2312" w:hAnsi="仿宋_GB2312" w:eastAsia="仿宋_GB2312" w:cs="仿宋_GB2312"/>
                <w:lang w:val="en-US" w:eastAsia="zh-CN"/>
              </w:rPr>
              <w:t>租赁</w:t>
            </w:r>
            <w:r>
              <w:rPr>
                <w:rFonts w:hint="eastAsia" w:ascii="仿宋_GB2312" w:hAnsi="仿宋_GB2312" w:eastAsia="仿宋_GB2312" w:cs="仿宋_GB2312"/>
              </w:rPr>
              <w:t>合同的有效期和房产证确定，产权自有永久使用的，得2分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32"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（2）根据租</w:t>
            </w:r>
            <w:r>
              <w:rPr>
                <w:rFonts w:hint="eastAsia" w:ascii="仿宋_GB2312" w:hAnsi="仿宋_GB2312" w:eastAsia="仿宋_GB2312" w:cs="仿宋_GB2312"/>
                <w:lang w:val="en-US" w:eastAsia="zh-CN"/>
              </w:rPr>
              <w:t>赁</w:t>
            </w:r>
            <w:r>
              <w:rPr>
                <w:rFonts w:hint="eastAsia" w:ascii="仿宋_GB2312" w:hAnsi="仿宋_GB2312" w:eastAsia="仿宋_GB2312" w:cs="仿宋_GB2312"/>
              </w:rPr>
              <w:t>合同的有效期和房产证确定，有效期在1年以上的，得1分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71" w:hRule="atLeast"/>
          <w:jc w:val="center"/>
        </w:trPr>
        <w:tc>
          <w:tcPr>
            <w:tcW w:w="55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区域规划设置</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（1）属于乡镇农村等零售药店空白或相对不足区域，得3分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79" w:hRule="atLeast"/>
          <w:jc w:val="center"/>
        </w:trPr>
        <w:tc>
          <w:tcPr>
            <w:tcW w:w="55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（2）属于城区等零售药店相对不足的区域，得1分</w:t>
            </w:r>
            <w:r>
              <w:rPr>
                <w:rFonts w:hint="eastAsia" w:ascii="仿宋_GB2312" w:hAnsi="仿宋_GB2312" w:eastAsia="仿宋_GB2312" w:cs="仿宋_GB2312"/>
                <w:lang w:eastAsia="zh-CN"/>
              </w:rPr>
              <w:t>。</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0" w:hRule="atLeast"/>
          <w:jc w:val="center"/>
        </w:trPr>
        <w:tc>
          <w:tcPr>
            <w:tcW w:w="558"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default" w:ascii="仿宋_GB2312" w:hAnsi="仿宋_GB2312" w:eastAsia="宋体" w:cs="仿宋_GB2312"/>
                <w:lang w:val="en-US"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不符合医疗保障定点规划设置要求的，</w:t>
            </w:r>
            <w:r>
              <w:rPr>
                <w:rFonts w:hint="eastAsia" w:ascii="仿宋_GB2312" w:hAnsi="仿宋_GB2312" w:eastAsia="仿宋_GB2312" w:cs="仿宋_GB2312"/>
                <w:lang w:val="en-US" w:eastAsia="zh-CN"/>
              </w:rPr>
              <w:t>得0分。</w:t>
            </w:r>
          </w:p>
        </w:tc>
        <w:tc>
          <w:tcPr>
            <w:tcW w:w="807"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32"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与最近医保定点零售药店的距离</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（1）200米以上，得3分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04"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nil"/>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（2）100米至200米以内，得2分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28"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nil"/>
              <w:left w:val="single" w:color="404040" w:sz="4" w:space="0"/>
              <w:bottom w:val="single" w:color="auto" w:sz="4" w:space="0"/>
              <w:right w:val="nil"/>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（3）100米以内，得1分</w:t>
            </w:r>
            <w:r>
              <w:rPr>
                <w:rFonts w:hint="eastAsia" w:ascii="仿宋_GB2312" w:hAnsi="仿宋_GB2312" w:eastAsia="仿宋_GB2312" w:cs="仿宋_GB2312"/>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42" w:hRule="atLeast"/>
          <w:jc w:val="center"/>
        </w:trPr>
        <w:tc>
          <w:tcPr>
            <w:tcW w:w="558"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109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服务能力    （23分）</w:t>
            </w:r>
          </w:p>
        </w:tc>
        <w:tc>
          <w:tcPr>
            <w:tcW w:w="1532"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医保西药中成药品种数</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750种以上，得3分</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0" w:hRule="atLeast"/>
          <w:jc w:val="center"/>
        </w:trPr>
        <w:tc>
          <w:tcPr>
            <w:tcW w:w="558" w:type="dxa"/>
            <w:tcBorders>
              <w:top w:val="nil"/>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6</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中药饮片</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品种数</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300种以上，得1.5分。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90" w:hRule="atLeast"/>
          <w:jc w:val="center"/>
        </w:trPr>
        <w:tc>
          <w:tcPr>
            <w:tcW w:w="558" w:type="dxa"/>
            <w:tcBorders>
              <w:top w:val="single" w:color="404040"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医疗器械</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品种数</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50种以上，得1.5分。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84" w:hRule="atLeast"/>
          <w:jc w:val="center"/>
        </w:trPr>
        <w:tc>
          <w:tcPr>
            <w:tcW w:w="55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8</w:t>
            </w: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营业执照</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经营范围</w:t>
            </w:r>
          </w:p>
        </w:tc>
        <w:tc>
          <w:tcPr>
            <w:tcW w:w="6501" w:type="dxa"/>
            <w:tcBorders>
              <w:top w:val="single" w:color="404040"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营业执照上经营范围无日用品、食品、化妆品等非医药类商品的，得4分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89" w:hRule="atLeast"/>
          <w:jc w:val="center"/>
        </w:trPr>
        <w:tc>
          <w:tcPr>
            <w:tcW w:w="55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color w:val="auto"/>
              </w:rPr>
              <w:t>营业执照上经营范围</w:t>
            </w:r>
            <w:r>
              <w:rPr>
                <w:rFonts w:hint="eastAsia" w:ascii="仿宋_GB2312" w:hAnsi="仿宋_GB2312" w:eastAsia="仿宋_GB2312" w:cs="仿宋_GB2312"/>
                <w:color w:val="auto"/>
                <w:lang w:eastAsia="zh-CN"/>
              </w:rPr>
              <w:t>有</w:t>
            </w:r>
            <w:r>
              <w:rPr>
                <w:rFonts w:hint="eastAsia" w:ascii="仿宋_GB2312" w:hAnsi="仿宋_GB2312" w:eastAsia="仿宋_GB2312" w:cs="仿宋_GB2312"/>
                <w:color w:val="auto"/>
              </w:rPr>
              <w:t>日用品、食品、化妆品等非医药类商品的，得</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分</w:t>
            </w:r>
            <w:r>
              <w:rPr>
                <w:rFonts w:hint="eastAsia" w:ascii="仿宋_GB2312" w:hAnsi="仿宋_GB2312" w:eastAsia="仿宋_GB2312" w:cs="仿宋_GB2312"/>
                <w:color w:val="auto"/>
                <w:lang w:eastAsia="zh-CN"/>
              </w:rPr>
              <w:t>。</w:t>
            </w:r>
          </w:p>
        </w:tc>
        <w:tc>
          <w:tcPr>
            <w:tcW w:w="807"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390" w:hRule="atLeast"/>
          <w:jc w:val="center"/>
        </w:trPr>
        <w:tc>
          <w:tcPr>
            <w:tcW w:w="558"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9</w:t>
            </w:r>
          </w:p>
        </w:tc>
        <w:tc>
          <w:tcPr>
            <w:tcW w:w="1098"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服务能力    （23分）</w:t>
            </w:r>
          </w:p>
        </w:tc>
        <w:tc>
          <w:tcPr>
            <w:tcW w:w="1532"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营业面积</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（1）100平米以上，得2分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90"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（2）60平米至100平米以内，得1分。</w:t>
            </w:r>
          </w:p>
        </w:tc>
        <w:tc>
          <w:tcPr>
            <w:tcW w:w="807" w:type="dxa"/>
            <w:vMerge w:val="continue"/>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60" w:hRule="atLeast"/>
          <w:jc w:val="center"/>
        </w:trPr>
        <w:tc>
          <w:tcPr>
            <w:tcW w:w="55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经营</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方式</w:t>
            </w:r>
          </w:p>
        </w:tc>
        <w:tc>
          <w:tcPr>
            <w:tcW w:w="65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（1）连锁经营的，得2分</w:t>
            </w:r>
            <w:r>
              <w:rPr>
                <w:rFonts w:hint="eastAsia" w:ascii="仿宋_GB2312" w:hAnsi="仿宋_GB2312" w:eastAsia="仿宋_GB2312" w:cs="仿宋_GB2312"/>
                <w:lang w:eastAsia="zh-CN"/>
              </w:rPr>
              <w:t>。</w:t>
            </w:r>
          </w:p>
        </w:tc>
        <w:tc>
          <w:tcPr>
            <w:tcW w:w="8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81" w:hRule="atLeast"/>
          <w:jc w:val="center"/>
        </w:trPr>
        <w:tc>
          <w:tcPr>
            <w:tcW w:w="558" w:type="dxa"/>
            <w:vMerge w:val="continue"/>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auto" w:sz="4" w:space="0"/>
              <w:left w:val="single" w:color="404040"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（2）单店经营的，得1分。</w:t>
            </w:r>
          </w:p>
        </w:tc>
        <w:tc>
          <w:tcPr>
            <w:tcW w:w="807"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15"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c>
          <w:tcPr>
            <w:tcW w:w="1098" w:type="dxa"/>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评估项目</w:t>
            </w: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评估标准</w:t>
            </w:r>
          </w:p>
        </w:tc>
        <w:tc>
          <w:tcPr>
            <w:tcW w:w="6501" w:type="dxa"/>
            <w:tcBorders>
              <w:top w:val="single" w:color="auto" w:sz="4" w:space="0"/>
              <w:left w:val="single" w:color="404040" w:sz="4" w:space="0"/>
              <w:bottom w:val="nil"/>
              <w:right w:val="nil"/>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得分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r>
      <w:tr>
        <w:tblPrEx>
          <w:tblCellMar>
            <w:top w:w="0" w:type="dxa"/>
            <w:left w:w="0" w:type="dxa"/>
            <w:bottom w:w="0" w:type="dxa"/>
            <w:right w:w="0" w:type="dxa"/>
          </w:tblCellMar>
        </w:tblPrEx>
        <w:trPr>
          <w:trHeight w:val="529"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11</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服务能力    （23分）</w:t>
            </w: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药师咨询服务</w:t>
            </w:r>
          </w:p>
        </w:tc>
        <w:tc>
          <w:tcPr>
            <w:tcW w:w="6501" w:type="dxa"/>
            <w:tcBorders>
              <w:top w:val="single" w:color="auto"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设立用药咨询台，提供药师咨询服务的，得3分。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76"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12</w:t>
            </w:r>
          </w:p>
        </w:tc>
        <w:tc>
          <w:tcPr>
            <w:tcW w:w="1098" w:type="dxa"/>
            <w:vMerge w:val="continue"/>
            <w:tcBorders>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医保政策熟悉情况</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熟悉医疗保障重大政策法律法规，得6分（随机抽查本店医保管理工作人员2人，每人3道题，答对1题得1分）。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125" w:hRule="atLeast"/>
          <w:jc w:val="center"/>
        </w:trPr>
        <w:tc>
          <w:tcPr>
            <w:tcW w:w="558" w:type="dxa"/>
            <w:tcBorders>
              <w:top w:val="single" w:color="auto"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13</w:t>
            </w:r>
          </w:p>
        </w:tc>
        <w:tc>
          <w:tcPr>
            <w:tcW w:w="109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价格收费（9分）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药品销售价格</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医保药品标价准确无误，且抽查的2个国家、省集采中选药品价格，均未超过省药品集采平台确定的医院销售价格的，得2分（药品定价未超过省药招价格的，1个品种得1分）。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71"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14</w:t>
            </w:r>
          </w:p>
        </w:tc>
        <w:tc>
          <w:tcPr>
            <w:tcW w:w="109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药品信息标示</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药品标示价格和医保类别的，得4分（其中药品标示价格的，得2分；药品标示医保类别的，得2分）。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39"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109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药品销售清单</w:t>
            </w:r>
          </w:p>
        </w:tc>
        <w:tc>
          <w:tcPr>
            <w:tcW w:w="6501" w:type="dxa"/>
            <w:tcBorders>
              <w:top w:val="nil"/>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销售药品提供电脑销售清单（包括药品通用名、剂型、规格、生产厂家、数量、金额）的，得3分。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112"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16</w:t>
            </w:r>
          </w:p>
        </w:tc>
        <w:tc>
          <w:tcPr>
            <w:tcW w:w="109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lang w:eastAsia="zh-CN"/>
              </w:rPr>
              <w:t>医保管理</w:t>
            </w:r>
            <w:r>
              <w:rPr>
                <w:rFonts w:hint="eastAsia" w:ascii="仿宋_GB2312" w:hAnsi="仿宋_GB2312" w:eastAsia="仿宋_GB2312" w:cs="仿宋_GB2312"/>
              </w:rPr>
              <w:t xml:space="preserve">    （26分）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医疗保障管理</w:t>
            </w:r>
          </w:p>
        </w:tc>
        <w:tc>
          <w:tcPr>
            <w:tcW w:w="6501" w:type="dxa"/>
            <w:tcBorders>
              <w:top w:val="single" w:color="404040" w:sz="4" w:space="0"/>
              <w:left w:val="single" w:color="404040" w:sz="4" w:space="0"/>
              <w:bottom w:val="nil"/>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建立了与医疗保障定点管理相适应的医保药品管理、财务管理、医保人员管理、信息管理、医保费用结算等内部组织管理制度，配备了必要的管理人员和设备的，得4分。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10"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17</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药品采购</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药品采购渠道合法，有完整采购记录和合法票据的，得2分。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49"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18</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nil"/>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药品质量管理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有健全和完善药品质量管理体系，对药品质量进行全面管理，有完整检查记录的，得2分。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495" w:hRule="atLeast"/>
          <w:jc w:val="center"/>
        </w:trPr>
        <w:tc>
          <w:tcPr>
            <w:tcW w:w="558" w:type="dxa"/>
            <w:tcBorders>
              <w:top w:val="single" w:color="404040" w:sz="4" w:space="0"/>
              <w:left w:val="single" w:color="404040" w:sz="4" w:space="0"/>
              <w:bottom w:val="nil"/>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19</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销售管理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抽查未发现过期失效药品，得2分；发现1例次，得0分。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0"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凭处方</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购药</w:t>
            </w:r>
          </w:p>
        </w:tc>
        <w:tc>
          <w:tcPr>
            <w:tcW w:w="6501" w:type="dxa"/>
            <w:tcBorders>
              <w:top w:val="single" w:color="404040" w:sz="4" w:space="0"/>
              <w:left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购药处方药经药师（执业药师）审核签字，并能够保存处方2年备查的，得2分。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6"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21</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药品摆放</w:t>
            </w:r>
          </w:p>
        </w:tc>
        <w:tc>
          <w:tcPr>
            <w:tcW w:w="6501"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处方药、非处方药、生物制剂等各类药品分区整齐摆放，经营冷藏药品的有专用冷藏设备，得3分。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78"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22</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投诉举报</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收银台位置摆放严禁非医药类等医保目录外商品套取医保基金警示牌，公布医疗保障、市场监管等部门投诉电话，畅通投诉渠道，及时受理、处置患方投诉的，得3分。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83" w:hRule="atLeast"/>
          <w:jc w:val="center"/>
        </w:trPr>
        <w:tc>
          <w:tcPr>
            <w:tcW w:w="558"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23</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政策宣传</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设置医疗保障政策宣传栏，及时宣传医疗保障有关政策规定的，得4分。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12" w:hRule="atLeast"/>
          <w:jc w:val="center"/>
        </w:trPr>
        <w:tc>
          <w:tcPr>
            <w:tcW w:w="558" w:type="dxa"/>
            <w:tcBorders>
              <w:top w:val="single" w:color="auto" w:sz="4" w:space="0"/>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24</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环境卫生管理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药店干净整洁，无乱贴乱挂，无生活起居用品的，得4分。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34"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25</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财务管理（14分）</w:t>
            </w: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执业药师、参保缴费情况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通过赣服通等形式核查</w:t>
            </w:r>
            <w:r>
              <w:rPr>
                <w:rFonts w:hint="eastAsia" w:ascii="仿宋_GB2312" w:hAnsi="仿宋_GB2312" w:eastAsia="仿宋_GB2312" w:cs="仿宋_GB2312"/>
              </w:rPr>
              <w:t>执业药师以本</w:t>
            </w:r>
            <w:r>
              <w:rPr>
                <w:rFonts w:hint="eastAsia" w:ascii="仿宋_GB2312" w:hAnsi="仿宋_GB2312" w:eastAsia="仿宋_GB2312" w:cs="仿宋_GB2312"/>
                <w:lang w:eastAsia="zh-CN"/>
              </w:rPr>
              <w:t>公司或本</w:t>
            </w:r>
            <w:r>
              <w:rPr>
                <w:rFonts w:hint="eastAsia" w:ascii="仿宋_GB2312" w:hAnsi="仿宋_GB2312" w:eastAsia="仿宋_GB2312" w:cs="仿宋_GB2312"/>
              </w:rPr>
              <w:t xml:space="preserve">店名义缴交基本医疗保险和社会养老保险的得5分 </w:t>
            </w:r>
            <w:r>
              <w:rPr>
                <w:rFonts w:hint="eastAsia" w:ascii="仿宋_GB2312" w:hAnsi="仿宋_GB2312" w:eastAsia="仿宋_GB2312" w:cs="仿宋_GB2312"/>
                <w:lang w:eastAsia="zh-CN"/>
              </w:rPr>
              <w:t>（</w:t>
            </w:r>
            <w:r>
              <w:rPr>
                <w:rFonts w:hint="eastAsia" w:ascii="仿宋_GB2312" w:hAnsi="仿宋_GB2312" w:eastAsia="仿宋_GB2312" w:cs="仿宋_GB2312"/>
              </w:rPr>
              <w:t>退休人员</w:t>
            </w:r>
            <w:r>
              <w:rPr>
                <w:rFonts w:hint="eastAsia" w:ascii="仿宋_GB2312" w:hAnsi="仿宋_GB2312" w:eastAsia="仿宋_GB2312" w:cs="仿宋_GB2312"/>
                <w:lang w:eastAsia="zh-CN"/>
              </w:rPr>
              <w:t>通过赣服通等形式核查</w:t>
            </w:r>
            <w:r>
              <w:rPr>
                <w:rFonts w:hint="eastAsia" w:ascii="仿宋_GB2312" w:hAnsi="仿宋_GB2312" w:eastAsia="仿宋_GB2312" w:cs="仿宋_GB2312"/>
              </w:rPr>
              <w:t>提供退休</w:t>
            </w:r>
            <w:r>
              <w:rPr>
                <w:rFonts w:hint="eastAsia" w:ascii="仿宋_GB2312" w:hAnsi="仿宋_GB2312" w:eastAsia="仿宋_GB2312" w:cs="仿宋_GB2312"/>
                <w:lang w:eastAsia="zh-CN"/>
              </w:rPr>
              <w:t>佐证）。</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5" w:hRule="atLeast"/>
          <w:jc w:val="center"/>
        </w:trPr>
        <w:tc>
          <w:tcPr>
            <w:tcW w:w="558" w:type="dxa"/>
            <w:vMerge w:val="restart"/>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26</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lang w:eastAsia="zh-CN"/>
              </w:rPr>
            </w:pPr>
            <w:r>
              <w:rPr>
                <w:rFonts w:hint="eastAsia" w:ascii="仿宋_GB2312" w:hAnsi="仿宋_GB2312" w:eastAsia="仿宋_GB2312" w:cs="仿宋_GB2312"/>
              </w:rPr>
              <w:t>参加基本医疗保险情况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（1）全部在职员工参加职工基本医疗保险，并及时缴费，得5分。</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（2）90%以上在职员工参加职工医保，并及时缴费，得4分。</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1532"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（3）80%以上在职员工参加职工医保，并及时缴费，得3分。</w:t>
            </w:r>
          </w:p>
        </w:tc>
        <w:tc>
          <w:tcPr>
            <w:tcW w:w="807" w:type="dxa"/>
            <w:vMerge w:val="continue"/>
            <w:tcBorders>
              <w:left w:val="single" w:color="404040" w:sz="4" w:space="0"/>
              <w:right w:val="single" w:color="404040" w:sz="4" w:space="0"/>
            </w:tcBorders>
            <w:tcMar>
              <w:top w:w="15" w:type="dxa"/>
              <w:left w:w="15" w:type="dxa"/>
              <w:right w:w="15" w:type="dxa"/>
            </w:tcMar>
            <w:vAlign w:val="center"/>
          </w:tcPr>
          <w:p>
            <w:pPr>
              <w:jc w:val="center"/>
              <w:rPr>
                <w:rFonts w:hint="eastAsia" w:ascii="Times New Roman" w:hAnsi="Times New Roman" w:eastAsia="仿宋_GB2312" w:cs="仿宋_GB2312"/>
                <w:color w:val="404040"/>
                <w:sz w:val="24"/>
                <w:szCs w:val="24"/>
              </w:rPr>
            </w:pPr>
          </w:p>
        </w:tc>
      </w:tr>
      <w:tr>
        <w:tblPrEx>
          <w:tblCellMar>
            <w:top w:w="0" w:type="dxa"/>
            <w:left w:w="0" w:type="dxa"/>
            <w:bottom w:w="0" w:type="dxa"/>
            <w:right w:w="0" w:type="dxa"/>
          </w:tblCellMar>
        </w:tblPrEx>
        <w:trPr>
          <w:trHeight w:val="538" w:hRule="atLeast"/>
          <w:jc w:val="center"/>
        </w:trPr>
        <w:tc>
          <w:tcPr>
            <w:tcW w:w="55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c>
          <w:tcPr>
            <w:tcW w:w="1098"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c>
          <w:tcPr>
            <w:tcW w:w="1532"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ind w:left="0" w:leftChars="0" w:right="0" w:rightChars="0" w:firstLine="0" w:firstLineChars="0"/>
              <w:jc w:val="both"/>
              <w:rPr>
                <w:rFonts w:hint="default" w:ascii="仿宋_GB2312" w:hAnsi="仿宋_GB2312" w:eastAsia="仿宋_GB2312" w:cs="仿宋_GB2312"/>
                <w:b/>
                <w:bCs/>
                <w:lang w:val="en-US" w:eastAsia="zh-CN"/>
              </w:rPr>
            </w:pP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lang w:val="en-US" w:eastAsia="zh-CN"/>
              </w:rPr>
              <w:t>4）</w:t>
            </w:r>
            <w:r>
              <w:rPr>
                <w:rFonts w:hint="eastAsia" w:ascii="仿宋_GB2312" w:hAnsi="仿宋_GB2312" w:eastAsia="仿宋_GB2312" w:cs="仿宋_GB2312"/>
                <w:b w:val="0"/>
                <w:bCs w:val="0"/>
                <w:color w:val="auto"/>
              </w:rPr>
              <w:t>不足80%在职员工参加职工医保的，得</w:t>
            </w:r>
            <w:r>
              <w:rPr>
                <w:rFonts w:hint="eastAsia" w:ascii="仿宋_GB2312" w:hAnsi="仿宋_GB2312" w:eastAsia="仿宋_GB2312" w:cs="仿宋_GB2312"/>
                <w:b w:val="0"/>
                <w:bCs w:val="0"/>
                <w:color w:val="auto"/>
                <w:lang w:val="en-US" w:eastAsia="zh-CN"/>
              </w:rPr>
              <w:t>0</w:t>
            </w:r>
            <w:r>
              <w:rPr>
                <w:rFonts w:hint="eastAsia" w:ascii="仿宋_GB2312" w:hAnsi="仿宋_GB2312" w:eastAsia="仿宋_GB2312" w:cs="仿宋_GB2312"/>
                <w:b w:val="0"/>
                <w:bCs w:val="0"/>
                <w:color w:val="auto"/>
                <w:lang w:eastAsia="zh-CN"/>
              </w:rPr>
              <w:t>分</w:t>
            </w:r>
            <w:r>
              <w:rPr>
                <w:rFonts w:hint="eastAsia" w:ascii="仿宋_GB2312" w:hAnsi="仿宋_GB2312" w:eastAsia="仿宋_GB2312" w:cs="仿宋_GB2312"/>
                <w:b w:val="0"/>
                <w:bCs w:val="0"/>
                <w:color w:val="auto"/>
              </w:rPr>
              <w:t>。</w:t>
            </w:r>
          </w:p>
        </w:tc>
        <w:tc>
          <w:tcPr>
            <w:tcW w:w="807"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b/>
                <w:bCs/>
              </w:rPr>
            </w:pPr>
          </w:p>
        </w:tc>
      </w:tr>
      <w:tr>
        <w:tblPrEx>
          <w:tblCellMar>
            <w:top w:w="0" w:type="dxa"/>
            <w:left w:w="0" w:type="dxa"/>
            <w:bottom w:w="0" w:type="dxa"/>
            <w:right w:w="0" w:type="dxa"/>
          </w:tblCellMar>
        </w:tblPrEx>
        <w:trPr>
          <w:trHeight w:val="538" w:hRule="atLeast"/>
          <w:jc w:val="center"/>
        </w:trPr>
        <w:tc>
          <w:tcPr>
            <w:tcW w:w="558"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c>
          <w:tcPr>
            <w:tcW w:w="1098" w:type="dxa"/>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评估项目</w:t>
            </w:r>
          </w:p>
        </w:tc>
        <w:tc>
          <w:tcPr>
            <w:tcW w:w="1532" w:type="dxa"/>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评估标准</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得分</w:t>
            </w:r>
          </w:p>
        </w:tc>
        <w:tc>
          <w:tcPr>
            <w:tcW w:w="807"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ind w:left="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b/>
                <w:bCs/>
              </w:rPr>
              <w:t>序号</w:t>
            </w:r>
          </w:p>
        </w:tc>
      </w:tr>
      <w:tr>
        <w:tblPrEx>
          <w:tblCellMar>
            <w:top w:w="0" w:type="dxa"/>
            <w:left w:w="0" w:type="dxa"/>
            <w:bottom w:w="0" w:type="dxa"/>
            <w:right w:w="0" w:type="dxa"/>
          </w:tblCellMar>
        </w:tblPrEx>
        <w:trPr>
          <w:trHeight w:val="853"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lang w:val="en-US" w:eastAsia="zh-CN"/>
              </w:rPr>
            </w:pPr>
            <w:r>
              <w:rPr>
                <w:rFonts w:hint="eastAsia" w:ascii="仿宋_GB2312" w:hAnsi="仿宋_GB2312" w:eastAsia="仿宋_GB2312" w:cs="仿宋_GB2312"/>
              </w:rPr>
              <w:t>26</w:t>
            </w:r>
          </w:p>
        </w:tc>
        <w:tc>
          <w:tcPr>
            <w:tcW w:w="1098" w:type="dxa"/>
            <w:vMerge w:val="restart"/>
            <w:tcBorders>
              <w:top w:val="single" w:color="auto"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财务管理（14分）</w:t>
            </w:r>
          </w:p>
        </w:tc>
        <w:tc>
          <w:tcPr>
            <w:tcW w:w="1532" w:type="dxa"/>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参加基本医疗保险情况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单体药店参加居民基本医疗保险可视同计算</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853"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27</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财务人员</w:t>
            </w: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配备会计、出纳等财务人员，得2分（单体药店有从事财务管理人员即可）</w:t>
            </w:r>
            <w:r>
              <w:rPr>
                <w:rFonts w:hint="eastAsia" w:ascii="仿宋_GB2312" w:hAnsi="仿宋_GB2312" w:eastAsia="仿宋_GB2312" w:cs="仿宋_GB2312"/>
                <w:lang w:eastAsia="zh-CN"/>
              </w:rPr>
              <w:t>。</w:t>
            </w:r>
          </w:p>
        </w:tc>
        <w:tc>
          <w:tcPr>
            <w:tcW w:w="8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08"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28</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财务结算</w:t>
            </w: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（1）能够正常提供符合税务管理要求的财务票据的，得1分。</w:t>
            </w:r>
          </w:p>
        </w:tc>
        <w:tc>
          <w:tcPr>
            <w:tcW w:w="8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eastAsia="zh-CN"/>
              </w:rPr>
              <w:t>连锁门店总部</w:t>
            </w:r>
            <w:r>
              <w:rPr>
                <w:rFonts w:hint="eastAsia" w:ascii="仿宋_GB2312" w:hAnsi="仿宋_GB2312" w:eastAsia="仿宋_GB2312" w:cs="仿宋_GB2312"/>
              </w:rPr>
              <w:t>已经安装使用财务管理软件的，得1分（单体药店不作要求直接得分）。</w:t>
            </w:r>
          </w:p>
        </w:tc>
        <w:tc>
          <w:tcPr>
            <w:tcW w:w="80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29</w:t>
            </w:r>
          </w:p>
        </w:tc>
        <w:tc>
          <w:tcPr>
            <w:tcW w:w="1098"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信息系统（11分）</w:t>
            </w:r>
          </w:p>
        </w:tc>
        <w:tc>
          <w:tcPr>
            <w:tcW w:w="1532" w:type="dxa"/>
            <w:vMerge w:val="restart"/>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对药品采购、验收、销售</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等环节实行</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计算机实时</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管理情况</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（1）已实时录入全部环节数据并可查询3个月以上时间的本药店的真实数据，得5分</w:t>
            </w:r>
            <w:r>
              <w:rPr>
                <w:rFonts w:hint="eastAsia" w:ascii="仿宋_GB2312" w:hAnsi="仿宋_GB2312" w:eastAsia="仿宋_GB2312" w:cs="仿宋_GB2312"/>
                <w:lang w:eastAsia="zh-CN"/>
              </w:rPr>
              <w:t>。</w:t>
            </w:r>
          </w:p>
        </w:tc>
        <w:tc>
          <w:tcPr>
            <w:tcW w:w="807" w:type="dxa"/>
            <w:vMerge w:val="restart"/>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（2）已实时录入全部环节数据并可查询1至3个月以内的本药店的真实数据，得3分</w:t>
            </w:r>
            <w:r>
              <w:rPr>
                <w:rFonts w:hint="eastAsia" w:ascii="仿宋_GB2312" w:hAnsi="仿宋_GB2312" w:eastAsia="仿宋_GB2312" w:cs="仿宋_GB2312"/>
                <w:lang w:eastAsia="zh-CN"/>
              </w:rPr>
              <w:t>。</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565"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抽查5个药品，药品进、销、存账物不符的，每发现一个品种扣1分，累计计算，最多扣5分。</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978" w:hRule="atLeast"/>
          <w:jc w:val="center"/>
        </w:trPr>
        <w:tc>
          <w:tcPr>
            <w:tcW w:w="558"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b/>
                <w:bCs/>
              </w:rPr>
              <w:t>不具备条件对药品进销存管理并将数据实时上传至医疗保障信息系统的，不得纳入医保定点。</w:t>
            </w:r>
          </w:p>
        </w:tc>
        <w:tc>
          <w:tcPr>
            <w:tcW w:w="807" w:type="dxa"/>
            <w:vMerge w:val="continue"/>
            <w:tcBorders>
              <w:top w:val="single" w:color="auto"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60"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30</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计算机配备</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使用</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lang w:eastAsia="zh-CN"/>
              </w:rPr>
              <w:t>能够确保</w:t>
            </w:r>
            <w:r>
              <w:rPr>
                <w:rFonts w:hint="eastAsia" w:ascii="仿宋_GB2312" w:hAnsi="仿宋_GB2312" w:eastAsia="仿宋_GB2312" w:cs="仿宋_GB2312"/>
              </w:rPr>
              <w:t>按照医疗保障业务要求</w:t>
            </w:r>
            <w:r>
              <w:rPr>
                <w:rFonts w:hint="eastAsia" w:ascii="仿宋_GB2312" w:hAnsi="仿宋_GB2312" w:eastAsia="仿宋_GB2312" w:cs="仿宋_GB2312"/>
                <w:lang w:eastAsia="zh-CN"/>
              </w:rPr>
              <w:t>，在通过定点评估后</w:t>
            </w:r>
            <w:r>
              <w:rPr>
                <w:rFonts w:hint="eastAsia" w:ascii="仿宋_GB2312" w:hAnsi="仿宋_GB2312" w:eastAsia="仿宋_GB2312" w:cs="仿宋_GB2312"/>
              </w:rPr>
              <w:t>配置必要的电脑、打印、医保卡（社保卡）刷卡</w:t>
            </w:r>
            <w:r>
              <w:rPr>
                <w:rFonts w:hint="eastAsia" w:ascii="仿宋_GB2312" w:hAnsi="仿宋_GB2312" w:eastAsia="仿宋_GB2312" w:cs="仿宋_GB2312"/>
                <w:lang w:eastAsia="zh-CN"/>
              </w:rPr>
              <w:t>扫码</w:t>
            </w:r>
            <w:r>
              <w:rPr>
                <w:rFonts w:hint="eastAsia" w:ascii="仿宋_GB2312" w:hAnsi="仿宋_GB2312" w:eastAsia="仿宋_GB2312" w:cs="仿宋_GB2312"/>
              </w:rPr>
              <w:t>设备和熟练操作人员的，得2分。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828" w:hRule="atLeast"/>
          <w:jc w:val="center"/>
        </w:trPr>
        <w:tc>
          <w:tcPr>
            <w:tcW w:w="558"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31</w:t>
            </w:r>
          </w:p>
        </w:tc>
        <w:tc>
          <w:tcPr>
            <w:tcW w:w="1098" w:type="dxa"/>
            <w:vMerge w:val="continue"/>
            <w:tcBorders>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药店经营</w:t>
            </w:r>
          </w:p>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信息化</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对药店经营实行信息化管理的，建立医保药品、药师等基础数据库，按规定使用国家统一的医保编码，得2分。</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93" w:hRule="atLeast"/>
          <w:jc w:val="center"/>
        </w:trPr>
        <w:tc>
          <w:tcPr>
            <w:tcW w:w="558"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32</w:t>
            </w:r>
          </w:p>
        </w:tc>
        <w:tc>
          <w:tcPr>
            <w:tcW w:w="1098"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404040" w:sz="4" w:space="0"/>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联网结算能力</w:t>
            </w:r>
          </w:p>
        </w:tc>
        <w:tc>
          <w:tcPr>
            <w:tcW w:w="6501" w:type="dxa"/>
            <w:tcBorders>
              <w:top w:val="single" w:color="404040" w:sz="4" w:space="0"/>
              <w:left w:val="single" w:color="404040"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能够适应医保信息化和网络安全管理建设要求，具有医保联网结算能力，得2分</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760" w:hRule="atLeast"/>
          <w:jc w:val="center"/>
        </w:trPr>
        <w:tc>
          <w:tcPr>
            <w:tcW w:w="558" w:type="dxa"/>
            <w:tcBorders>
              <w:top w:val="single" w:color="auto" w:sz="4" w:space="0"/>
              <w:left w:val="single" w:color="auto" w:sz="4" w:space="0"/>
              <w:bottom w:val="nil"/>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33</w:t>
            </w:r>
          </w:p>
        </w:tc>
        <w:tc>
          <w:tcPr>
            <w:tcW w:w="1098" w:type="dxa"/>
            <w:vMerge w:val="restart"/>
            <w:tcBorders>
              <w:top w:val="single" w:color="auto" w:sz="4" w:space="0"/>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社会评价（7分）</w:t>
            </w:r>
          </w:p>
        </w:tc>
        <w:tc>
          <w:tcPr>
            <w:tcW w:w="1532" w:type="dxa"/>
            <w:tcBorders>
              <w:top w:val="single" w:color="auto" w:sz="4" w:space="0"/>
              <w:left w:val="single" w:color="404040" w:sz="4" w:space="0"/>
              <w:bottom w:val="nil"/>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慈善公益服务</w:t>
            </w:r>
          </w:p>
        </w:tc>
        <w:tc>
          <w:tcPr>
            <w:tcW w:w="6501"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药店提交定点申请前三年内开展慈善公益服务或疫情等公共事件中表现突出，提供相关佐证材料得2分，如在县级以上媒体正面报道的另得1分</w:t>
            </w:r>
            <w:r>
              <w:rPr>
                <w:rFonts w:hint="eastAsia" w:ascii="仿宋_GB2312" w:hAnsi="仿宋_GB2312" w:eastAsia="仿宋_GB2312" w:cs="仿宋_GB2312"/>
                <w:lang w:eastAsia="zh-CN"/>
              </w:rPr>
              <w:t>。</w:t>
            </w:r>
          </w:p>
        </w:tc>
        <w:tc>
          <w:tcPr>
            <w:tcW w:w="807" w:type="dxa"/>
            <w:tcBorders>
              <w:top w:val="single" w:color="404040"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673" w:hRule="atLeast"/>
          <w:jc w:val="center"/>
        </w:trPr>
        <w:tc>
          <w:tcPr>
            <w:tcW w:w="558" w:type="dxa"/>
            <w:vMerge w:val="restart"/>
            <w:tcBorders>
              <w:top w:val="single" w:color="404040" w:sz="4" w:space="0"/>
              <w:left w:val="single" w:color="auto"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34</w:t>
            </w:r>
          </w:p>
        </w:tc>
        <w:tc>
          <w:tcPr>
            <w:tcW w:w="1098" w:type="dxa"/>
            <w:vMerge w:val="continue"/>
            <w:tcBorders>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restart"/>
            <w:tcBorders>
              <w:top w:val="single" w:color="404040" w:sz="4" w:space="0"/>
              <w:left w:val="single" w:color="404040" w:sz="4" w:space="0"/>
              <w:bottom w:val="single" w:color="404040"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社会诚信    记录</w:t>
            </w:r>
          </w:p>
        </w:tc>
        <w:tc>
          <w:tcPr>
            <w:tcW w:w="6501" w:type="dxa"/>
            <w:tcBorders>
              <w:top w:val="single" w:color="404040" w:sz="4" w:space="0"/>
              <w:left w:val="single" w:color="auto" w:sz="4" w:space="0"/>
              <w:bottom w:val="single" w:color="404040" w:sz="4" w:space="0"/>
              <w:right w:val="single" w:color="404040" w:sz="4" w:space="0"/>
            </w:tcBorders>
            <w:tcMar>
              <w:top w:w="15" w:type="dxa"/>
              <w:left w:w="15" w:type="dxa"/>
              <w:right w:w="15" w:type="dxa"/>
            </w:tcMar>
            <w:vAlign w:val="center"/>
          </w:tcPr>
          <w:p>
            <w:pPr>
              <w:shd w:val="clear" w:color="auto" w:fill="auto"/>
              <w:jc w:val="left"/>
              <w:rPr>
                <w:rFonts w:hint="eastAsia" w:ascii="仿宋_GB2312" w:hAnsi="仿宋_GB2312" w:eastAsia="仿宋_GB2312" w:cs="仿宋_GB2312"/>
                <w:lang w:eastAsia="zh-CN"/>
              </w:rPr>
            </w:pPr>
            <w:r>
              <w:rPr>
                <w:rFonts w:hint="eastAsia" w:ascii="仿宋_GB2312" w:hAnsi="仿宋_GB2312" w:eastAsia="仿宋_GB2312" w:cs="仿宋_GB2312"/>
              </w:rPr>
              <w:t>药店提交定点申请前一年内查询社会诚信无不良记录的，得3分</w:t>
            </w:r>
            <w:r>
              <w:rPr>
                <w:rFonts w:hint="eastAsia" w:ascii="仿宋_GB2312" w:hAnsi="仿宋_GB2312" w:eastAsia="仿宋_GB2312" w:cs="仿宋_GB2312"/>
                <w:lang w:eastAsia="zh-CN"/>
              </w:rPr>
              <w:t>。</w:t>
            </w:r>
          </w:p>
        </w:tc>
        <w:tc>
          <w:tcPr>
            <w:tcW w:w="807" w:type="dxa"/>
            <w:vMerge w:val="restart"/>
            <w:tcBorders>
              <w:top w:val="single" w:color="404040" w:sz="4" w:space="0"/>
              <w:left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52" w:hRule="atLeast"/>
          <w:jc w:val="center"/>
        </w:trPr>
        <w:tc>
          <w:tcPr>
            <w:tcW w:w="55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098" w:type="dxa"/>
            <w:vMerge w:val="continue"/>
            <w:tcBorders>
              <w:left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vMerge w:val="continue"/>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6501" w:type="dxa"/>
            <w:tcBorders>
              <w:top w:val="single" w:color="auto" w:sz="4" w:space="0"/>
              <w:left w:val="single" w:color="auto" w:sz="4" w:space="0"/>
              <w:bottom w:val="single" w:color="auto"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b/>
                <w:bCs/>
              </w:rPr>
              <w:t>医药机构或法定代表人、主要负责人、实际控制人被列入社会失信名单，被行政处罚或责令整改处于处罚整改期等属于不予受理定点申请情形之一的，不得纳入医保定点。</w:t>
            </w:r>
          </w:p>
        </w:tc>
        <w:tc>
          <w:tcPr>
            <w:tcW w:w="807" w:type="dxa"/>
            <w:vMerge w:val="continue"/>
            <w:tcBorders>
              <w:left w:val="single" w:color="404040"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r>
        <w:tblPrEx>
          <w:tblCellMar>
            <w:top w:w="0" w:type="dxa"/>
            <w:left w:w="0" w:type="dxa"/>
            <w:bottom w:w="0" w:type="dxa"/>
            <w:right w:w="0" w:type="dxa"/>
          </w:tblCellMar>
        </w:tblPrEx>
        <w:trPr>
          <w:trHeight w:val="1085" w:hRule="atLeast"/>
          <w:jc w:val="center"/>
        </w:trPr>
        <w:tc>
          <w:tcPr>
            <w:tcW w:w="5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35</w:t>
            </w:r>
          </w:p>
        </w:tc>
        <w:tc>
          <w:tcPr>
            <w:tcW w:w="1098" w:type="dxa"/>
            <w:vMerge w:val="continue"/>
            <w:tcBorders>
              <w:left w:val="single" w:color="auto" w:sz="4" w:space="0"/>
              <w:bottom w:val="single" w:color="auto"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c>
          <w:tcPr>
            <w:tcW w:w="1532" w:type="dxa"/>
            <w:tcBorders>
              <w:top w:val="single" w:color="auto" w:sz="4" w:space="0"/>
              <w:left w:val="single" w:color="404040" w:sz="4" w:space="0"/>
              <w:bottom w:val="single" w:color="auto" w:sz="4" w:space="0"/>
              <w:right w:val="single" w:color="auto"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r>
              <w:rPr>
                <w:rFonts w:hint="eastAsia" w:ascii="仿宋_GB2312" w:hAnsi="仿宋_GB2312" w:eastAsia="仿宋_GB2312" w:cs="仿宋_GB2312"/>
              </w:rPr>
              <w:t>获得荣誉表彰   情况</w:t>
            </w:r>
          </w:p>
        </w:tc>
        <w:tc>
          <w:tcPr>
            <w:tcW w:w="6501" w:type="dxa"/>
            <w:tcBorders>
              <w:top w:val="single" w:color="auto" w:sz="4" w:space="0"/>
              <w:left w:val="single" w:color="auto" w:sz="4" w:space="0"/>
              <w:bottom w:val="single" w:color="404040" w:sz="4" w:space="0"/>
              <w:right w:val="nil"/>
            </w:tcBorders>
            <w:tcMar>
              <w:top w:w="15" w:type="dxa"/>
              <w:left w:w="15" w:type="dxa"/>
              <w:right w:w="15" w:type="dxa"/>
            </w:tcMar>
            <w:vAlign w:val="center"/>
          </w:tcPr>
          <w:p>
            <w:pPr>
              <w:shd w:val="clear" w:color="auto" w:fill="auto"/>
              <w:jc w:val="left"/>
              <w:rPr>
                <w:rFonts w:hint="eastAsia" w:ascii="仿宋_GB2312" w:hAnsi="仿宋_GB2312" w:eastAsia="仿宋_GB2312" w:cs="仿宋_GB2312"/>
              </w:rPr>
            </w:pPr>
            <w:r>
              <w:rPr>
                <w:rFonts w:hint="eastAsia" w:ascii="仿宋_GB2312" w:hAnsi="仿宋_GB2312" w:eastAsia="仿宋_GB2312" w:cs="仿宋_GB2312"/>
              </w:rPr>
              <w:t>药店提交定点申请前三年内被县（市、区）级以上行政监管部门表彰的得1分。</w:t>
            </w:r>
          </w:p>
        </w:tc>
        <w:tc>
          <w:tcPr>
            <w:tcW w:w="807" w:type="dxa"/>
            <w:tcBorders>
              <w:top w:val="single" w:color="auto" w:sz="4" w:space="0"/>
              <w:left w:val="single" w:color="404040" w:sz="4" w:space="0"/>
              <w:bottom w:val="single" w:color="404040" w:sz="4" w:space="0"/>
              <w:right w:val="single" w:color="404040" w:sz="4" w:space="0"/>
            </w:tcBorders>
            <w:tcMar>
              <w:top w:w="15" w:type="dxa"/>
              <w:left w:w="15" w:type="dxa"/>
              <w:right w:w="15" w:type="dxa"/>
            </w:tcMar>
            <w:vAlign w:val="center"/>
          </w:tcPr>
          <w:p>
            <w:pPr>
              <w:shd w:val="clear" w:color="auto" w:fill="auto"/>
              <w:jc w:val="center"/>
              <w:rPr>
                <w:rFonts w:hint="eastAsia" w:ascii="仿宋_GB2312" w:hAnsi="仿宋_GB2312" w:eastAsia="仿宋_GB2312" w:cs="仿宋_GB2312"/>
              </w:rPr>
            </w:pPr>
          </w:p>
        </w:tc>
      </w:tr>
    </w:tbl>
    <w:p>
      <w:pPr>
        <w:pStyle w:val="9"/>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footerReference r:id="rId9" w:type="default"/>
          <w:pgSz w:w="11906" w:h="16838"/>
          <w:pgMar w:top="720" w:right="720" w:bottom="720" w:left="72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6"/>
        <w:tblW w:w="14289" w:type="dxa"/>
        <w:jc w:val="center"/>
        <w:tblLayout w:type="fixed"/>
        <w:tblCellMar>
          <w:top w:w="15" w:type="dxa"/>
          <w:left w:w="15" w:type="dxa"/>
          <w:bottom w:w="15" w:type="dxa"/>
          <w:right w:w="15" w:type="dxa"/>
        </w:tblCellMar>
      </w:tblPr>
      <w:tblGrid>
        <w:gridCol w:w="823"/>
        <w:gridCol w:w="1012"/>
        <w:gridCol w:w="1831"/>
        <w:gridCol w:w="1804"/>
        <w:gridCol w:w="829"/>
        <w:gridCol w:w="1198"/>
        <w:gridCol w:w="1395"/>
        <w:gridCol w:w="1803"/>
        <w:gridCol w:w="2028"/>
        <w:gridCol w:w="1566"/>
      </w:tblGrid>
      <w:tr>
        <w:tblPrEx>
          <w:tblCellMar>
            <w:top w:w="15" w:type="dxa"/>
            <w:left w:w="15" w:type="dxa"/>
            <w:bottom w:w="15" w:type="dxa"/>
            <w:right w:w="15" w:type="dxa"/>
          </w:tblCellMar>
        </w:tblPrEx>
        <w:trPr>
          <w:trHeight w:val="375" w:hRule="atLeast"/>
          <w:jc w:val="center"/>
        </w:trPr>
        <w:tc>
          <w:tcPr>
            <w:tcW w:w="3666" w:type="dxa"/>
            <w:gridSpan w:val="3"/>
            <w:vAlign w:val="center"/>
          </w:tcPr>
          <w:p>
            <w:pPr>
              <w:spacing w:line="400" w:lineRule="exact"/>
              <w:rPr>
                <w:rFonts w:hint="eastAsia" w:ascii="黑体" w:hAnsi="宋体" w:eastAsia="黑体" w:cs="宋体"/>
                <w:color w:val="auto"/>
                <w:sz w:val="32"/>
                <w:szCs w:val="32"/>
                <w:lang w:eastAsia="zh-CN"/>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7</w:t>
            </w:r>
          </w:p>
        </w:tc>
        <w:tc>
          <w:tcPr>
            <w:tcW w:w="1804" w:type="dxa"/>
            <w:vAlign w:val="center"/>
          </w:tcPr>
          <w:p>
            <w:pPr>
              <w:spacing w:line="400" w:lineRule="exact"/>
              <w:rPr>
                <w:rFonts w:hint="eastAsia" w:ascii="宋体" w:hAnsi="宋体" w:cs="宋体"/>
                <w:color w:val="auto"/>
                <w:sz w:val="24"/>
              </w:rPr>
            </w:pPr>
          </w:p>
        </w:tc>
        <w:tc>
          <w:tcPr>
            <w:tcW w:w="829" w:type="dxa"/>
            <w:vAlign w:val="center"/>
          </w:tcPr>
          <w:p>
            <w:pPr>
              <w:spacing w:line="400" w:lineRule="exact"/>
              <w:rPr>
                <w:rFonts w:hint="eastAsia" w:ascii="宋体" w:hAnsi="宋体" w:cs="宋体"/>
                <w:color w:val="auto"/>
                <w:sz w:val="24"/>
              </w:rPr>
            </w:pPr>
          </w:p>
        </w:tc>
        <w:tc>
          <w:tcPr>
            <w:tcW w:w="1198" w:type="dxa"/>
            <w:vAlign w:val="center"/>
          </w:tcPr>
          <w:p>
            <w:pPr>
              <w:spacing w:line="400" w:lineRule="exact"/>
              <w:rPr>
                <w:rFonts w:hint="eastAsia" w:ascii="宋体" w:hAnsi="宋体" w:cs="宋体"/>
                <w:color w:val="auto"/>
                <w:sz w:val="24"/>
              </w:rPr>
            </w:pPr>
          </w:p>
        </w:tc>
        <w:tc>
          <w:tcPr>
            <w:tcW w:w="1395" w:type="dxa"/>
            <w:vAlign w:val="center"/>
          </w:tcPr>
          <w:p>
            <w:pPr>
              <w:spacing w:line="400" w:lineRule="exact"/>
              <w:rPr>
                <w:rFonts w:hint="eastAsia" w:ascii="宋体" w:hAnsi="宋体" w:cs="宋体"/>
                <w:color w:val="auto"/>
                <w:sz w:val="24"/>
              </w:rPr>
            </w:pPr>
          </w:p>
        </w:tc>
        <w:tc>
          <w:tcPr>
            <w:tcW w:w="1803" w:type="dxa"/>
            <w:vAlign w:val="center"/>
          </w:tcPr>
          <w:p>
            <w:pPr>
              <w:spacing w:line="400" w:lineRule="exact"/>
              <w:rPr>
                <w:rFonts w:hint="eastAsia" w:ascii="宋体" w:hAnsi="宋体" w:cs="宋体"/>
                <w:color w:val="auto"/>
                <w:sz w:val="24"/>
              </w:rPr>
            </w:pPr>
          </w:p>
        </w:tc>
        <w:tc>
          <w:tcPr>
            <w:tcW w:w="2028" w:type="dxa"/>
            <w:vAlign w:val="center"/>
          </w:tcPr>
          <w:p>
            <w:pPr>
              <w:spacing w:line="400" w:lineRule="exact"/>
              <w:rPr>
                <w:rFonts w:hint="eastAsia" w:ascii="宋体" w:hAnsi="宋体" w:cs="宋体"/>
                <w:color w:val="auto"/>
                <w:sz w:val="24"/>
              </w:rPr>
            </w:pPr>
          </w:p>
        </w:tc>
        <w:tc>
          <w:tcPr>
            <w:tcW w:w="1566" w:type="dxa"/>
            <w:vAlign w:val="center"/>
          </w:tcPr>
          <w:p>
            <w:pPr>
              <w:spacing w:line="400" w:lineRule="exact"/>
              <w:rPr>
                <w:rFonts w:hint="eastAsia" w:ascii="宋体" w:hAnsi="宋体" w:cs="宋体"/>
                <w:color w:val="auto"/>
                <w:sz w:val="24"/>
              </w:rPr>
            </w:pPr>
          </w:p>
        </w:tc>
      </w:tr>
      <w:tr>
        <w:tblPrEx>
          <w:tblCellMar>
            <w:top w:w="15" w:type="dxa"/>
            <w:left w:w="15" w:type="dxa"/>
            <w:bottom w:w="15" w:type="dxa"/>
            <w:right w:w="15" w:type="dxa"/>
          </w:tblCellMar>
        </w:tblPrEx>
        <w:trPr>
          <w:trHeight w:val="674" w:hRule="atLeast"/>
          <w:jc w:val="center"/>
        </w:trPr>
        <w:tc>
          <w:tcPr>
            <w:tcW w:w="823" w:type="dxa"/>
            <w:vAlign w:val="center"/>
          </w:tcPr>
          <w:p>
            <w:pPr>
              <w:widowControl/>
              <w:spacing w:line="400" w:lineRule="exact"/>
              <w:jc w:val="center"/>
              <w:textAlignment w:val="center"/>
              <w:rPr>
                <w:rFonts w:hint="eastAsia" w:ascii="华文中宋" w:hAnsi="华文中宋" w:eastAsia="华文中宋" w:cs="华文中宋"/>
                <w:color w:val="auto"/>
                <w:kern w:val="0"/>
                <w:sz w:val="36"/>
                <w:szCs w:val="36"/>
              </w:rPr>
            </w:pPr>
          </w:p>
        </w:tc>
        <w:tc>
          <w:tcPr>
            <w:tcW w:w="13466" w:type="dxa"/>
            <w:gridSpan w:val="9"/>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outlineLvl w:val="9"/>
              <w:rPr>
                <w:rFonts w:ascii="华文中宋" w:hAnsi="华文中宋" w:eastAsia="华文中宋" w:cs="华文中宋"/>
                <w:color w:val="auto"/>
                <w:sz w:val="36"/>
                <w:szCs w:val="36"/>
              </w:rPr>
            </w:pPr>
            <w:r>
              <w:rPr>
                <w:rFonts w:hint="eastAsia" w:ascii="方正小标宋简体" w:hAnsi="方正小标宋简体" w:eastAsia="方正小标宋简体" w:cs="方正小标宋简体"/>
                <w:color w:val="auto"/>
                <w:kern w:val="0"/>
                <w:sz w:val="44"/>
                <w:szCs w:val="44"/>
              </w:rPr>
              <w:t>赣州市医</w:t>
            </w:r>
            <w:r>
              <w:rPr>
                <w:rFonts w:hint="eastAsia" w:ascii="方正小标宋简体" w:hAnsi="方正小标宋简体" w:eastAsia="方正小标宋简体" w:cs="方正小标宋简体"/>
                <w:color w:val="auto"/>
                <w:kern w:val="0"/>
                <w:sz w:val="44"/>
                <w:szCs w:val="44"/>
                <w:lang w:eastAsia="zh-CN"/>
              </w:rPr>
              <w:t>药</w:t>
            </w:r>
            <w:r>
              <w:rPr>
                <w:rFonts w:hint="eastAsia" w:ascii="方正小标宋简体" w:hAnsi="方正小标宋简体" w:eastAsia="方正小标宋简体" w:cs="方正小标宋简体"/>
                <w:color w:val="auto"/>
                <w:kern w:val="0"/>
                <w:sz w:val="44"/>
                <w:szCs w:val="44"/>
              </w:rPr>
              <w:t>机构医疗保障定点</w:t>
            </w:r>
            <w:r>
              <w:rPr>
                <w:rFonts w:hint="eastAsia" w:ascii="方正小标宋简体" w:hAnsi="方正小标宋简体" w:eastAsia="方正小标宋简体" w:cs="方正小标宋简体"/>
                <w:color w:val="auto"/>
                <w:kern w:val="0"/>
                <w:sz w:val="44"/>
                <w:szCs w:val="44"/>
                <w:lang w:eastAsia="zh-CN"/>
              </w:rPr>
              <w:t>评估准入申请</w:t>
            </w:r>
            <w:r>
              <w:rPr>
                <w:rFonts w:hint="eastAsia" w:ascii="方正小标宋简体" w:hAnsi="方正小标宋简体" w:eastAsia="方正小标宋简体" w:cs="方正小标宋简体"/>
                <w:color w:val="auto"/>
                <w:kern w:val="0"/>
                <w:sz w:val="44"/>
                <w:szCs w:val="44"/>
              </w:rPr>
              <w:t>汇总表</w:t>
            </w:r>
          </w:p>
        </w:tc>
      </w:tr>
      <w:tr>
        <w:tblPrEx>
          <w:tblCellMar>
            <w:top w:w="15" w:type="dxa"/>
            <w:left w:w="15" w:type="dxa"/>
            <w:bottom w:w="15" w:type="dxa"/>
            <w:right w:w="15" w:type="dxa"/>
          </w:tblCellMar>
        </w:tblPrEx>
        <w:trPr>
          <w:trHeight w:val="255" w:hRule="atLeast"/>
          <w:jc w:val="center"/>
        </w:trPr>
        <w:tc>
          <w:tcPr>
            <w:tcW w:w="823" w:type="dxa"/>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kern w:val="0"/>
                <w:sz w:val="24"/>
              </w:rPr>
            </w:pPr>
          </w:p>
        </w:tc>
        <w:tc>
          <w:tcPr>
            <w:tcW w:w="13466" w:type="dxa"/>
            <w:gridSpan w:val="9"/>
            <w:tcBorders>
              <w:bottom w:val="single" w:color="000000" w:sz="4" w:space="0"/>
            </w:tcBorders>
            <w:vAlign w:val="center"/>
          </w:tcPr>
          <w:p>
            <w:pPr>
              <w:widowControl/>
              <w:spacing w:line="400" w:lineRule="exact"/>
              <w:jc w:val="left"/>
              <w:textAlignment w:val="center"/>
              <w:rPr>
                <w:rFonts w:ascii="仿宋_GB2312" w:hAnsi="宋体" w:eastAsia="仿宋_GB2312" w:cs="仿宋_GB2312"/>
                <w:color w:val="auto"/>
                <w:sz w:val="24"/>
              </w:rPr>
            </w:pPr>
            <w:r>
              <w:rPr>
                <w:rFonts w:ascii="仿宋_GB2312" w:hAnsi="宋体" w:eastAsia="仿宋_GB2312" w:cs="仿宋_GB2312"/>
                <w:color w:val="auto"/>
                <w:kern w:val="0"/>
                <w:sz w:val="24"/>
              </w:rPr>
              <w:t>填报单位：          （章）　　　　　　                       　              时间：</w:t>
            </w:r>
          </w:p>
        </w:tc>
      </w:tr>
      <w:tr>
        <w:tblPrEx>
          <w:tblCellMar>
            <w:top w:w="15" w:type="dxa"/>
            <w:left w:w="15" w:type="dxa"/>
            <w:bottom w:w="15" w:type="dxa"/>
            <w:right w:w="15" w:type="dxa"/>
          </w:tblCellMar>
        </w:tblPrEx>
        <w:trPr>
          <w:trHeight w:val="795" w:hRule="atLeast"/>
          <w:jc w:val="center"/>
        </w:trPr>
        <w:tc>
          <w:tcPr>
            <w:tcW w:w="82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kern w:val="0"/>
                <w:sz w:val="22"/>
                <w:szCs w:val="22"/>
                <w:lang w:eastAsia="zh-CN"/>
              </w:rPr>
            </w:pPr>
            <w:r>
              <w:rPr>
                <w:rFonts w:hint="eastAsia" w:ascii="仿宋_GB2312" w:hAnsi="宋体" w:eastAsia="仿宋_GB2312" w:cs="仿宋_GB2312"/>
                <w:color w:val="auto"/>
                <w:kern w:val="0"/>
                <w:sz w:val="22"/>
                <w:szCs w:val="22"/>
                <w:lang w:eastAsia="zh-CN"/>
              </w:rPr>
              <w:t>序号</w:t>
            </w:r>
          </w:p>
        </w:tc>
        <w:tc>
          <w:tcPr>
            <w:tcW w:w="1012"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eastAsia="zh-CN"/>
              </w:rPr>
              <w:t>机构类型</w:t>
            </w:r>
          </w:p>
        </w:tc>
        <w:tc>
          <w:tcPr>
            <w:tcW w:w="1831"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医</w:t>
            </w:r>
            <w:r>
              <w:rPr>
                <w:rFonts w:hint="eastAsia" w:ascii="仿宋_GB2312" w:hAnsi="宋体" w:eastAsia="仿宋_GB2312" w:cs="仿宋_GB2312"/>
                <w:color w:val="auto"/>
                <w:kern w:val="0"/>
                <w:sz w:val="22"/>
                <w:szCs w:val="22"/>
                <w:lang w:eastAsia="zh-CN"/>
              </w:rPr>
              <w:t>药</w:t>
            </w:r>
            <w:r>
              <w:rPr>
                <w:rFonts w:ascii="仿宋_GB2312" w:hAnsi="宋体" w:eastAsia="仿宋_GB2312" w:cs="仿宋_GB2312"/>
                <w:color w:val="auto"/>
                <w:kern w:val="0"/>
                <w:sz w:val="22"/>
                <w:szCs w:val="22"/>
              </w:rPr>
              <w:t>机构名称</w:t>
            </w:r>
          </w:p>
        </w:tc>
        <w:tc>
          <w:tcPr>
            <w:tcW w:w="180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hint="eastAsia" w:ascii="仿宋_GB2312" w:hAnsi="宋体" w:eastAsia="仿宋_GB2312" w:cs="仿宋_GB2312"/>
                <w:color w:val="auto"/>
                <w:kern w:val="0"/>
                <w:sz w:val="22"/>
                <w:szCs w:val="22"/>
                <w:lang w:eastAsia="zh-CN"/>
              </w:rPr>
              <w:t>医疗机构执业许可证号（</w:t>
            </w:r>
            <w:r>
              <w:rPr>
                <w:rFonts w:ascii="仿宋_GB2312" w:hAnsi="宋体" w:eastAsia="仿宋_GB2312" w:cs="仿宋_GB2312"/>
                <w:color w:val="auto"/>
                <w:kern w:val="0"/>
                <w:sz w:val="22"/>
                <w:szCs w:val="22"/>
              </w:rPr>
              <w:t>药品经营许可证号</w:t>
            </w:r>
            <w:r>
              <w:rPr>
                <w:rFonts w:hint="eastAsia" w:ascii="仿宋_GB2312" w:hAnsi="宋体" w:eastAsia="仿宋_GB2312" w:cs="仿宋_GB2312"/>
                <w:color w:val="auto"/>
                <w:kern w:val="0"/>
                <w:sz w:val="22"/>
                <w:szCs w:val="22"/>
                <w:lang w:eastAsia="zh-CN"/>
              </w:rPr>
              <w:t>）</w:t>
            </w:r>
          </w:p>
        </w:tc>
        <w:tc>
          <w:tcPr>
            <w:tcW w:w="829"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所有制形式</w:t>
            </w:r>
          </w:p>
        </w:tc>
        <w:tc>
          <w:tcPr>
            <w:tcW w:w="1198" w:type="dxa"/>
            <w:tcBorders>
              <w:top w:val="single" w:color="000000" w:sz="4" w:space="0"/>
              <w:left w:val="single" w:color="000000" w:sz="4" w:space="0"/>
              <w:right w:val="single" w:color="000000" w:sz="4" w:space="0"/>
            </w:tcBorders>
            <w:vAlign w:val="center"/>
          </w:tcPr>
          <w:p>
            <w:pPr>
              <w:widowControl/>
              <w:ind w:firstLine="220" w:firstLineChars="100"/>
              <w:jc w:val="both"/>
              <w:textAlignment w:val="center"/>
              <w:rPr>
                <w:rFonts w:ascii="仿宋_GB2312" w:hAnsi="宋体" w:eastAsia="仿宋_GB2312" w:cs="仿宋_GB2312"/>
                <w:color w:val="auto"/>
                <w:sz w:val="22"/>
                <w:szCs w:val="22"/>
              </w:rPr>
            </w:pPr>
            <w:r>
              <w:rPr>
                <w:rFonts w:hint="eastAsia" w:ascii="仿宋_GB2312" w:hAnsi="宋体" w:eastAsia="仿宋_GB2312" w:cs="仿宋_GB2312"/>
                <w:color w:val="auto"/>
                <w:kern w:val="0"/>
                <w:sz w:val="22"/>
                <w:szCs w:val="22"/>
                <w:lang w:eastAsia="zh-CN"/>
              </w:rPr>
              <w:t>机构</w:t>
            </w:r>
            <w:r>
              <w:rPr>
                <w:rFonts w:ascii="仿宋_GB2312" w:hAnsi="宋体" w:eastAsia="仿宋_GB2312" w:cs="仿宋_GB2312"/>
                <w:color w:val="auto"/>
                <w:kern w:val="0"/>
                <w:sz w:val="22"/>
                <w:szCs w:val="22"/>
              </w:rPr>
              <w:t>等级</w:t>
            </w:r>
          </w:p>
        </w:tc>
        <w:tc>
          <w:tcPr>
            <w:tcW w:w="139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22"/>
                <w:szCs w:val="22"/>
                <w:lang w:eastAsia="zh-CN"/>
              </w:rPr>
            </w:pPr>
            <w:r>
              <w:rPr>
                <w:rFonts w:ascii="仿宋_GB2312" w:hAnsi="宋体" w:eastAsia="仿宋_GB2312" w:cs="仿宋_GB2312"/>
                <w:color w:val="auto"/>
                <w:kern w:val="0"/>
                <w:sz w:val="22"/>
                <w:szCs w:val="22"/>
              </w:rPr>
              <w:t>法</w:t>
            </w:r>
            <w:r>
              <w:rPr>
                <w:rFonts w:hint="eastAsia" w:ascii="仿宋_GB2312" w:hAnsi="宋体" w:eastAsia="仿宋_GB2312" w:cs="仿宋_GB2312"/>
                <w:color w:val="auto"/>
                <w:kern w:val="0"/>
                <w:sz w:val="22"/>
                <w:szCs w:val="22"/>
                <w:lang w:eastAsia="zh-CN"/>
              </w:rPr>
              <w:t>定</w:t>
            </w:r>
            <w:r>
              <w:rPr>
                <w:rFonts w:ascii="仿宋_GB2312" w:hAnsi="宋体" w:eastAsia="仿宋_GB2312" w:cs="仿宋_GB2312"/>
                <w:color w:val="auto"/>
                <w:kern w:val="0"/>
                <w:sz w:val="22"/>
                <w:szCs w:val="22"/>
              </w:rPr>
              <w:t>代表人</w:t>
            </w:r>
            <w:r>
              <w:rPr>
                <w:rFonts w:hint="eastAsia" w:ascii="仿宋_GB2312" w:hAnsi="宋体" w:eastAsia="仿宋_GB2312" w:cs="仿宋_GB2312"/>
                <w:color w:val="auto"/>
                <w:kern w:val="0"/>
                <w:sz w:val="22"/>
                <w:szCs w:val="22"/>
                <w:lang w:val="en-US" w:eastAsia="zh-CN"/>
              </w:rPr>
              <w:t xml:space="preserve">  </w:t>
            </w:r>
            <w:r>
              <w:rPr>
                <w:rFonts w:hint="eastAsia" w:ascii="仿宋_GB2312" w:hAnsi="宋体" w:eastAsia="仿宋_GB2312" w:cs="仿宋_GB2312"/>
                <w:color w:val="auto"/>
                <w:kern w:val="0"/>
                <w:sz w:val="22"/>
                <w:szCs w:val="22"/>
                <w:lang w:eastAsia="zh-CN"/>
              </w:rPr>
              <w:t>（主要负责人）</w:t>
            </w:r>
          </w:p>
        </w:tc>
        <w:tc>
          <w:tcPr>
            <w:tcW w:w="180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联系电话</w:t>
            </w:r>
          </w:p>
        </w:tc>
        <w:tc>
          <w:tcPr>
            <w:tcW w:w="2028"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地址</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r>
              <w:rPr>
                <w:rFonts w:ascii="仿宋_GB2312" w:hAnsi="宋体" w:eastAsia="仿宋_GB2312" w:cs="仿宋_GB2312"/>
                <w:color w:val="auto"/>
                <w:kern w:val="0"/>
                <w:sz w:val="22"/>
                <w:szCs w:val="22"/>
              </w:rPr>
              <w:t>备注</w:t>
            </w: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lang w:val="en-US" w:eastAsia="zh-CN"/>
              </w:rPr>
            </w:pPr>
            <w:r>
              <w:rPr>
                <w:rFonts w:ascii="仿宋_GB2312" w:hAnsi="宋体" w:eastAsia="仿宋_GB2312" w:cs="仿宋_GB2312"/>
                <w:color w:val="auto"/>
                <w:kern w:val="0"/>
                <w:sz w:val="24"/>
              </w:rPr>
              <w:t>1</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hint="eastAsia" w:ascii="仿宋_GB2312" w:hAnsi="宋体" w:eastAsia="仿宋_GB2312" w:cs="仿宋_GB2312"/>
                <w:color w:val="auto"/>
                <w:kern w:val="0"/>
                <w:sz w:val="24"/>
                <w:lang w:val="en-US" w:eastAsia="zh-CN"/>
              </w:rPr>
            </w:pPr>
            <w:r>
              <w:rPr>
                <w:rFonts w:ascii="仿宋_GB2312" w:hAnsi="宋体" w:eastAsia="仿宋_GB2312" w:cs="仿宋_GB2312"/>
                <w:color w:val="auto"/>
                <w:kern w:val="0"/>
                <w:sz w:val="24"/>
              </w:rPr>
              <w:t>2</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3</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4</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4"/>
              </w:rPr>
            </w:pPr>
            <w:r>
              <w:rPr>
                <w:rFonts w:ascii="仿宋_GB2312" w:hAnsi="宋体" w:eastAsia="仿宋_GB2312" w:cs="仿宋_GB2312"/>
                <w:color w:val="auto"/>
                <w:kern w:val="0"/>
                <w:sz w:val="24"/>
              </w:rPr>
              <w:t>5</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4"/>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6</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40"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7</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581"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widowControl/>
              <w:ind w:left="0" w:leftChars="0" w:right="0" w:rightChars="0" w:firstLine="0" w:firstLineChars="0"/>
              <w:jc w:val="center"/>
              <w:textAlignment w:val="center"/>
              <w:rPr>
                <w:rFonts w:ascii="仿宋_GB2312" w:hAnsi="宋体" w:eastAsia="仿宋_GB2312" w:cs="仿宋_GB2312"/>
                <w:color w:val="auto"/>
                <w:kern w:val="0"/>
                <w:sz w:val="22"/>
                <w:szCs w:val="22"/>
              </w:rPr>
            </w:pPr>
            <w:r>
              <w:rPr>
                <w:rFonts w:ascii="仿宋_GB2312" w:hAnsi="宋体" w:eastAsia="仿宋_GB2312" w:cs="仿宋_GB2312"/>
                <w:color w:val="auto"/>
                <w:kern w:val="0"/>
                <w:sz w:val="22"/>
                <w:szCs w:val="22"/>
              </w:rPr>
              <w:t>8</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auto"/>
                <w:sz w:val="22"/>
                <w:szCs w:val="22"/>
              </w:rPr>
            </w:pPr>
          </w:p>
        </w:tc>
        <w:tc>
          <w:tcPr>
            <w:tcW w:w="183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82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80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20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auto"/>
                <w:sz w:val="20"/>
                <w:szCs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auto"/>
                <w:sz w:val="22"/>
                <w:szCs w:val="22"/>
              </w:rPr>
            </w:pPr>
          </w:p>
        </w:tc>
      </w:tr>
      <w:tr>
        <w:tblPrEx>
          <w:tblCellMar>
            <w:top w:w="15" w:type="dxa"/>
            <w:left w:w="15" w:type="dxa"/>
            <w:bottom w:w="15" w:type="dxa"/>
            <w:right w:w="15" w:type="dxa"/>
          </w:tblCellMar>
        </w:tblPrEx>
        <w:trPr>
          <w:trHeight w:val="285" w:hRule="atLeast"/>
          <w:jc w:val="center"/>
        </w:trPr>
        <w:tc>
          <w:tcPr>
            <w:tcW w:w="823" w:type="dxa"/>
            <w:tcBorders>
              <w:top w:val="single" w:color="000000" w:sz="4" w:space="0"/>
              <w:bottom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single" w:color="000000" w:sz="4" w:space="0"/>
              <w:bottom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Times New Roman" w:hAnsi="Times New Roman" w:eastAsia="仿宋_GB2312" w:cs="仿宋_GB2312"/>
                <w:b w:val="0"/>
                <w:bCs/>
                <w:color w:val="auto"/>
                <w:kern w:val="0"/>
                <w:sz w:val="24"/>
                <w:szCs w:val="24"/>
                <w:lang w:bidi="ar"/>
              </w:rPr>
            </w:pPr>
            <w:r>
              <w:rPr>
                <w:rFonts w:ascii="仿宋_GB2312" w:hAnsi="宋体" w:eastAsia="仿宋_GB2312" w:cs="仿宋_GB2312"/>
                <w:color w:val="auto"/>
                <w:kern w:val="0"/>
                <w:sz w:val="24"/>
              </w:rPr>
              <w:t>备注：</w:t>
            </w:r>
            <w:r>
              <w:rPr>
                <w:rFonts w:hint="eastAsia" w:ascii="仿宋_GB2312" w:hAnsi="宋体" w:eastAsia="仿宋_GB2312" w:cs="仿宋_GB2312"/>
                <w:color w:val="auto"/>
                <w:kern w:val="0"/>
                <w:sz w:val="24"/>
                <w:lang w:val="en-US" w:eastAsia="zh-CN"/>
              </w:rPr>
              <w:t>1.</w:t>
            </w:r>
            <w:r>
              <w:rPr>
                <w:rFonts w:hint="eastAsia" w:ascii="仿宋_GB2312" w:hAnsi="宋体" w:eastAsia="仿宋_GB2312" w:cs="仿宋_GB2312"/>
                <w:color w:val="auto"/>
                <w:kern w:val="0"/>
                <w:sz w:val="22"/>
                <w:szCs w:val="22"/>
                <w:lang w:eastAsia="zh-CN"/>
              </w:rPr>
              <w:t>机构类型：</w:t>
            </w:r>
            <w:r>
              <w:rPr>
                <w:rFonts w:hint="eastAsia" w:ascii="Times New Roman" w:hAnsi="Times New Roman" w:eastAsia="仿宋_GB2312" w:cs="仿宋_GB2312"/>
                <w:b w:val="0"/>
                <w:bCs/>
                <w:color w:val="auto"/>
                <w:kern w:val="0"/>
                <w:sz w:val="24"/>
                <w:szCs w:val="24"/>
                <w:lang w:bidi="ar"/>
              </w:rPr>
              <w:t>二级及以上住院医疗机构（综合，含中医院）</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一级住院医疗机构（综合，含中医院）</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住院医疗机构</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_GB2312" w:hAnsi="宋体" w:eastAsia="仿宋_GB2312" w:cs="仿宋_GB2312"/>
                <w:color w:val="auto"/>
                <w:kern w:val="0"/>
                <w:sz w:val="24"/>
                <w:lang w:val="en-US" w:eastAsia="zh-CN"/>
              </w:rPr>
            </w:pPr>
            <w:r>
              <w:rPr>
                <w:rFonts w:hint="eastAsia" w:ascii="Times New Roman" w:hAnsi="Times New Roman" w:eastAsia="仿宋_GB2312" w:cs="仿宋_GB2312"/>
                <w:b w:val="0"/>
                <w:bCs/>
                <w:color w:val="auto"/>
                <w:kern w:val="0"/>
                <w:sz w:val="24"/>
                <w:szCs w:val="24"/>
                <w:lang w:bidi="ar"/>
              </w:rPr>
              <w:t>（专科）</w:t>
            </w:r>
            <w:r>
              <w:rPr>
                <w:rFonts w:hint="eastAsia" w:eastAsia="仿宋_GB2312" w:cs="仿宋_GB2312"/>
                <w:b w:val="0"/>
                <w:bCs/>
                <w:color w:val="auto"/>
                <w:kern w:val="0"/>
                <w:sz w:val="24"/>
                <w:szCs w:val="24"/>
                <w:lang w:eastAsia="zh-CN" w:bidi="ar"/>
              </w:rPr>
              <w:t>，门诊</w:t>
            </w:r>
            <w:r>
              <w:rPr>
                <w:rFonts w:hint="eastAsia" w:ascii="Times New Roman" w:hAnsi="Times New Roman" w:eastAsia="仿宋_GB2312" w:cs="仿宋_GB2312"/>
                <w:b w:val="0"/>
                <w:bCs/>
                <w:color w:val="auto"/>
                <w:kern w:val="0"/>
                <w:sz w:val="24"/>
                <w:szCs w:val="24"/>
                <w:lang w:bidi="ar"/>
              </w:rPr>
              <w:t>医疗机构（</w:t>
            </w:r>
            <w:r>
              <w:rPr>
                <w:rFonts w:hint="eastAsia" w:eastAsia="仿宋_GB2312" w:cs="仿宋_GB2312"/>
                <w:b w:val="0"/>
                <w:bCs/>
                <w:color w:val="auto"/>
                <w:kern w:val="0"/>
                <w:sz w:val="24"/>
                <w:szCs w:val="24"/>
                <w:lang w:eastAsia="zh-CN" w:bidi="ar"/>
              </w:rPr>
              <w:t>综合</w:t>
            </w:r>
            <w:r>
              <w:rPr>
                <w:rFonts w:hint="eastAsia" w:ascii="Times New Roman" w:hAnsi="Times New Roman" w:eastAsia="仿宋_GB2312" w:cs="仿宋_GB2312"/>
                <w:b w:val="0"/>
                <w:bCs/>
                <w:color w:val="auto"/>
                <w:kern w:val="0"/>
                <w:sz w:val="24"/>
                <w:szCs w:val="24"/>
                <w:lang w:bidi="ar"/>
              </w:rPr>
              <w:t>）</w:t>
            </w:r>
            <w:r>
              <w:rPr>
                <w:rFonts w:hint="eastAsia" w:eastAsia="仿宋_GB2312" w:cs="仿宋_GB2312"/>
                <w:b w:val="0"/>
                <w:bCs/>
                <w:color w:val="auto"/>
                <w:kern w:val="0"/>
                <w:sz w:val="24"/>
                <w:szCs w:val="24"/>
                <w:lang w:eastAsia="zh-CN" w:bidi="ar"/>
              </w:rPr>
              <w:t>，</w:t>
            </w:r>
            <w:r>
              <w:rPr>
                <w:rFonts w:hint="eastAsia" w:ascii="Times New Roman" w:hAnsi="Times New Roman" w:eastAsia="仿宋_GB2312" w:cs="仿宋_GB2312"/>
                <w:b w:val="0"/>
                <w:bCs/>
                <w:color w:val="auto"/>
                <w:kern w:val="0"/>
                <w:sz w:val="24"/>
                <w:szCs w:val="24"/>
                <w:lang w:bidi="ar"/>
              </w:rPr>
              <w:t>门诊医疗机构（专科，含个体诊所）</w:t>
            </w:r>
            <w:r>
              <w:rPr>
                <w:rFonts w:hint="eastAsia" w:eastAsia="仿宋_GB2312" w:cs="仿宋_GB2312"/>
                <w:b w:val="0"/>
                <w:bCs/>
                <w:color w:val="auto"/>
                <w:kern w:val="0"/>
                <w:sz w:val="24"/>
                <w:szCs w:val="24"/>
                <w:lang w:eastAsia="zh-CN" w:bidi="ar"/>
              </w:rPr>
              <w:t>，单体零售药店，连锁零售药店。</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val="en-US" w:eastAsia="zh-CN"/>
              </w:rPr>
              <w:t xml:space="preserve">      2.机构等级：医疗机构等级指由卫生行政部门确定的级别(一、二、三级)和由医疗机构评审委员会评定的等次(甲、乙、丙等)，按X级X等、无等级分类填写。  </w:t>
            </w:r>
          </w:p>
        </w:tc>
      </w:tr>
      <w:tr>
        <w:tblPrEx>
          <w:tblCellMar>
            <w:top w:w="15" w:type="dxa"/>
            <w:left w:w="15" w:type="dxa"/>
            <w:bottom w:w="15" w:type="dxa"/>
            <w:right w:w="15" w:type="dxa"/>
          </w:tblCellMar>
        </w:tblPrEx>
        <w:trPr>
          <w:trHeight w:val="285" w:hRule="atLeast"/>
          <w:jc w:val="center"/>
        </w:trPr>
        <w:tc>
          <w:tcPr>
            <w:tcW w:w="823" w:type="dxa"/>
            <w:tcBorders>
              <w:top w:val="nil"/>
              <w:left w:val="nil"/>
              <w:bottom w:val="nil"/>
              <w:right w:val="nil"/>
            </w:tcBorders>
            <w:vAlign w:val="center"/>
          </w:tcPr>
          <w:p>
            <w:pPr>
              <w:widowControl/>
              <w:jc w:val="left"/>
              <w:textAlignment w:val="center"/>
              <w:rPr>
                <w:rFonts w:ascii="仿宋_GB2312" w:hAnsi="宋体" w:eastAsia="仿宋_GB2312" w:cs="仿宋_GB2312"/>
                <w:color w:val="auto"/>
                <w:kern w:val="0"/>
                <w:sz w:val="24"/>
              </w:rPr>
            </w:pPr>
          </w:p>
        </w:tc>
        <w:tc>
          <w:tcPr>
            <w:tcW w:w="13466" w:type="dxa"/>
            <w:gridSpan w:val="9"/>
            <w:tcBorders>
              <w:top w:val="nil"/>
              <w:left w:val="nil"/>
              <w:bottom w:val="nil"/>
              <w:right w:val="nil"/>
            </w:tcBorders>
            <w:vAlign w:val="center"/>
          </w:tcPr>
          <w:p>
            <w:pPr>
              <w:widowControl/>
              <w:jc w:val="left"/>
              <w:textAlignment w:val="center"/>
              <w:rPr>
                <w:rFonts w:hint="eastAsia" w:ascii="仿宋_GB2312" w:hAnsi="宋体" w:eastAsia="仿宋_GB2312" w:cs="仿宋_GB2312"/>
                <w:color w:val="auto"/>
                <w:kern w:val="0"/>
                <w:sz w:val="24"/>
                <w:lang w:val="en-US" w:eastAsia="zh-CN"/>
              </w:rPr>
            </w:pPr>
            <w:r>
              <w:rPr>
                <w:rFonts w:hint="eastAsia" w:ascii="仿宋_GB2312" w:hAnsi="宋体" w:eastAsia="仿宋_GB2312" w:cs="仿宋_GB2312"/>
                <w:color w:val="auto"/>
                <w:kern w:val="0"/>
                <w:sz w:val="24"/>
                <w:lang w:val="en-US" w:eastAsia="zh-CN"/>
              </w:rPr>
              <w:t xml:space="preserve">      3.</w:t>
            </w:r>
            <w:r>
              <w:rPr>
                <w:rFonts w:ascii="仿宋_GB2312" w:hAnsi="宋体" w:eastAsia="仿宋_GB2312" w:cs="仿宋_GB2312"/>
                <w:color w:val="auto"/>
                <w:kern w:val="0"/>
                <w:sz w:val="24"/>
              </w:rPr>
              <w:t>此表在赣州市</w:t>
            </w:r>
            <w:r>
              <w:rPr>
                <w:rFonts w:hint="eastAsia" w:ascii="仿宋_GB2312" w:hAnsi="宋体" w:eastAsia="仿宋_GB2312" w:cs="仿宋_GB2312"/>
                <w:color w:val="auto"/>
                <w:kern w:val="0"/>
                <w:sz w:val="24"/>
              </w:rPr>
              <w:t>医疗</w:t>
            </w:r>
            <w:r>
              <w:rPr>
                <w:rFonts w:ascii="仿宋_GB2312" w:hAnsi="宋体" w:eastAsia="仿宋_GB2312" w:cs="仿宋_GB2312"/>
                <w:color w:val="auto"/>
                <w:kern w:val="0"/>
                <w:sz w:val="24"/>
              </w:rPr>
              <w:t>保障局网站（</w:t>
            </w:r>
            <w:r>
              <w:rPr>
                <w:rFonts w:hint="eastAsia" w:ascii="仿宋_GB2312" w:hAnsi="宋体" w:eastAsia="仿宋_GB2312" w:cs="仿宋_GB2312"/>
                <w:color w:val="auto"/>
                <w:kern w:val="0"/>
                <w:sz w:val="24"/>
              </w:rPr>
              <w:t>http://ybj.ganzhou.gov.cn/</w:t>
            </w:r>
            <w:r>
              <w:rPr>
                <w:rFonts w:ascii="仿宋_GB2312" w:hAnsi="宋体" w:eastAsia="仿宋_GB2312" w:cs="仿宋_GB2312"/>
                <w:color w:val="auto"/>
                <w:kern w:val="0"/>
                <w:sz w:val="24"/>
              </w:rPr>
              <w:t>）下载中心可下载。</w:t>
            </w:r>
          </w:p>
        </w:tc>
      </w:tr>
    </w:tbl>
    <w:p>
      <w:pPr>
        <w:pStyle w:val="9"/>
        <w:keepNext/>
        <w:keepLines/>
        <w:widowControl w:val="0"/>
        <w:shd w:val="clear" w:color="auto" w:fill="auto"/>
        <w:bidi w:val="0"/>
        <w:spacing w:before="0" w:after="520" w:line="598" w:lineRule="exact"/>
        <w:ind w:left="0" w:right="0" w:firstLine="0"/>
        <w:jc w:val="both"/>
        <w:rPr>
          <w:rFonts w:hint="eastAsia" w:ascii="仿宋_GB2312" w:hAnsi="仿宋_GB2312" w:eastAsia="仿宋_GB2312" w:cs="仿宋_GB2312"/>
          <w:color w:val="auto"/>
          <w:spacing w:val="0"/>
          <w:w w:val="100"/>
          <w:position w:val="0"/>
          <w:sz w:val="28"/>
          <w:szCs w:val="28"/>
        </w:rPr>
        <w:sectPr>
          <w:pgSz w:w="16838" w:h="11906" w:orient="landscape"/>
          <w:pgMar w:top="1236" w:right="1440" w:bottom="669" w:left="1440" w:header="851" w:footer="992" w:gutter="0"/>
          <w:pgBorders>
            <w:top w:val="none" w:sz="0" w:space="0"/>
            <w:left w:val="none" w:sz="0" w:space="0"/>
            <w:bottom w:val="none" w:sz="0" w:space="0"/>
            <w:right w:val="none" w:sz="0" w:space="0"/>
          </w:pgBorders>
          <w:pgNumType w:fmt="decimal"/>
          <w:cols w:space="0" w:num="1"/>
          <w:rtlGutter w:val="0"/>
          <w:docGrid w:type="lines" w:linePitch="333" w:charSpace="0"/>
        </w:sectPr>
      </w:pPr>
    </w:p>
    <w:p>
      <w:pPr>
        <w:shd w:val="clear" w:color="auto" w:fill="auto"/>
        <w:spacing w:line="400" w:lineRule="exact"/>
        <w:rPr>
          <w:rFonts w:hint="eastAsia" w:ascii="黑体" w:hAnsi="黑体" w:eastAsia="黑体" w:cs="黑体"/>
          <w:color w:val="auto"/>
          <w:spacing w:val="0"/>
          <w:w w:val="100"/>
          <w:position w:val="0"/>
          <w:sz w:val="32"/>
          <w:szCs w:val="32"/>
          <w:u w:val="none"/>
          <w:shd w:val="clear" w:color="auto" w:fill="auto"/>
          <w:lang w:val="en-US" w:eastAsia="zh-CN" w:bidi="zh-TW"/>
        </w:rPr>
      </w:pPr>
      <w:r>
        <w:rPr>
          <w:rFonts w:hint="eastAsia" w:ascii="黑体" w:hAnsi="黑体" w:eastAsia="黑体" w:cs="黑体"/>
          <w:color w:val="auto"/>
          <w:spacing w:val="0"/>
          <w:w w:val="100"/>
          <w:position w:val="0"/>
          <w:sz w:val="32"/>
          <w:szCs w:val="32"/>
          <w:u w:val="none"/>
          <w:shd w:val="clear" w:color="auto" w:fill="auto"/>
          <w:lang w:val="zh-TW" w:eastAsia="zh-CN" w:bidi="zh-TW"/>
        </w:rPr>
        <w:t>附件</w:t>
      </w:r>
      <w:r>
        <w:rPr>
          <w:rFonts w:hint="eastAsia" w:ascii="黑体" w:hAnsi="黑体" w:eastAsia="黑体" w:cs="黑体"/>
          <w:color w:val="auto"/>
          <w:spacing w:val="0"/>
          <w:w w:val="100"/>
          <w:position w:val="0"/>
          <w:sz w:val="32"/>
          <w:szCs w:val="32"/>
          <w:u w:val="none"/>
          <w:shd w:val="clear" w:color="auto" w:fill="auto"/>
          <w:lang w:val="en-US" w:eastAsia="zh-CN" w:bidi="zh-TW"/>
        </w:rPr>
        <w:t>8</w:t>
      </w:r>
    </w:p>
    <w:p>
      <w:pPr>
        <w:jc w:val="center"/>
        <w:rPr>
          <w:rFonts w:hint="eastAsia" w:ascii="方正小标宋简体" w:hAnsi="方正小标宋简体" w:eastAsia="方正小标宋简体" w:cs="方正小标宋简体"/>
          <w:color w:val="auto"/>
          <w:sz w:val="44"/>
          <w:szCs w:val="44"/>
        </w:rPr>
      </w:pPr>
    </w:p>
    <w:p>
      <w:pPr>
        <w:jc w:val="center"/>
        <w:rPr>
          <w:rFonts w:hint="eastAsia"/>
          <w:color w:val="auto"/>
        </w:rPr>
      </w:pPr>
      <w:r>
        <w:rPr>
          <w:rFonts w:hint="eastAsia" w:ascii="方正小标宋简体" w:hAnsi="方正小标宋简体" w:eastAsia="方正小标宋简体" w:cs="方正小标宋简体"/>
          <w:color w:val="auto"/>
          <w:sz w:val="44"/>
          <w:szCs w:val="44"/>
        </w:rPr>
        <w:t>承  诺  书</w:t>
      </w:r>
    </w:p>
    <w:p>
      <w:pPr>
        <w:rPr>
          <w:rFonts w:hint="eastAsia" w:ascii="仿宋_GB2312" w:hAnsi="仿宋_GB2312" w:eastAsia="仿宋_GB2312" w:cs="仿宋_GB2312"/>
          <w:color w:val="auto"/>
          <w:kern w:val="0"/>
          <w:sz w:val="32"/>
          <w:szCs w:val="32"/>
        </w:rPr>
      </w:pPr>
    </w:p>
    <w:p>
      <w:pP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赣州市医疗保障基金管理中心：</w:t>
      </w:r>
    </w:p>
    <w:p>
      <w:pPr>
        <w:pStyle w:val="5"/>
        <w:widowControl/>
        <w:spacing w:beforeAutospacing="0" w:after="150" w:afterAutospacing="0" w:line="450" w:lineRule="atLeast"/>
        <w:jc w:val="center"/>
        <w:rPr>
          <w:color w:val="auto"/>
        </w:rPr>
      </w:pPr>
      <w:r>
        <w:rPr>
          <w:rFonts w:hint="eastAsia"/>
          <w:color w:val="auto"/>
        </w:rPr>
        <w:t>　　　</w:t>
      </w:r>
      <w:r>
        <w:rPr>
          <w:rFonts w:hint="eastAsia" w:ascii="微软雅黑" w:hAnsi="微软雅黑" w:eastAsia="微软雅黑" w:cs="微软雅黑"/>
          <w:color w:val="auto"/>
        </w:rPr>
        <w:t>　</w:t>
      </w:r>
    </w:p>
    <w:p>
      <w:pPr>
        <w:pStyle w:val="5"/>
        <w:widowControl/>
        <w:spacing w:beforeAutospacing="0" w:after="150" w:afterAutospacing="0" w:line="580" w:lineRule="atLeas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我单位郑重</w:t>
      </w:r>
      <w:r>
        <w:rPr>
          <w:rFonts w:hint="eastAsia" w:ascii="仿宋_GB2312" w:hAnsi="仿宋_GB2312" w:eastAsia="仿宋_GB2312" w:cs="仿宋_GB2312"/>
          <w:color w:val="auto"/>
          <w:sz w:val="32"/>
          <w:szCs w:val="32"/>
        </w:rPr>
        <w:t xml:space="preserve">承诺：                   </w:t>
      </w:r>
      <w:r>
        <w:rPr>
          <w:rFonts w:ascii="仿宋_GB2312" w:hAnsi="仿宋_GB2312" w:eastAsia="仿宋_GB2312" w:cs="仿宋_GB2312"/>
          <w:color w:val="auto"/>
          <w:sz w:val="32"/>
          <w:szCs w:val="32"/>
        </w:rPr>
        <w:t>（单位名称）</w:t>
      </w:r>
      <w:r>
        <w:rPr>
          <w:rFonts w:hint="eastAsia" w:ascii="仿宋_GB2312" w:hAnsi="仿宋_GB2312" w:eastAsia="仿宋_GB2312" w:cs="仿宋_GB2312"/>
          <w:color w:val="auto"/>
          <w:sz w:val="32"/>
          <w:szCs w:val="32"/>
        </w:rPr>
        <w:t>向贵中心提交的</w:t>
      </w:r>
      <w:r>
        <w:rPr>
          <w:rFonts w:ascii="仿宋_GB2312" w:hAnsi="仿宋_GB2312" w:eastAsia="仿宋_GB2312" w:cs="仿宋_GB2312"/>
          <w:color w:val="auto"/>
          <w:sz w:val="32"/>
          <w:szCs w:val="32"/>
        </w:rPr>
        <w:t>申请</w:t>
      </w:r>
      <w:r>
        <w:rPr>
          <w:rFonts w:ascii="仿宋_GB2312" w:hAnsi="仿宋_GB2312" w:eastAsia="仿宋_GB2312" w:cs="仿宋_GB2312"/>
          <w:color w:val="auto"/>
          <w:spacing w:val="-10"/>
          <w:sz w:val="32"/>
          <w:szCs w:val="32"/>
        </w:rPr>
        <w:t>定点医药机构评估准入</w:t>
      </w:r>
      <w:r>
        <w:rPr>
          <w:rFonts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rPr>
        <w:t>的</w:t>
      </w:r>
      <w:r>
        <w:rPr>
          <w:rFonts w:ascii="仿宋_GB2312" w:hAnsi="仿宋_GB2312" w:eastAsia="仿宋_GB2312" w:cs="仿宋_GB2312"/>
          <w:color w:val="auto"/>
          <w:sz w:val="32"/>
          <w:szCs w:val="32"/>
        </w:rPr>
        <w:t>申报材料真实、准确、可靠，我单位对其真实性负全部责任。</w:t>
      </w:r>
    </w:p>
    <w:p>
      <w:pPr>
        <w:pStyle w:val="5"/>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580" w:lineRule="atLeast"/>
        <w:ind w:firstLine="640"/>
        <w:rPr>
          <w:color w:val="auto"/>
        </w:rPr>
      </w:pPr>
      <w:r>
        <w:rPr>
          <w:rFonts w:ascii="仿宋_GB2312" w:hAnsi="仿宋_GB2312" w:eastAsia="仿宋_GB2312" w:cs="仿宋_GB2312"/>
          <w:color w:val="auto"/>
          <w:sz w:val="32"/>
          <w:szCs w:val="32"/>
        </w:rPr>
        <w:t>特此承诺。</w:t>
      </w:r>
    </w:p>
    <w:p>
      <w:pPr>
        <w:pStyle w:val="5"/>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58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450" w:lineRule="atLeast"/>
        <w:rPr>
          <w:color w:val="auto"/>
        </w:rPr>
      </w:pPr>
      <w:r>
        <w:rPr>
          <w:rFonts w:hint="eastAsia" w:ascii="微软雅黑" w:hAnsi="微软雅黑" w:eastAsia="微软雅黑" w:cs="微软雅黑"/>
          <w:color w:val="auto"/>
        </w:rPr>
        <w:t>　　</w:t>
      </w:r>
    </w:p>
    <w:p>
      <w:pPr>
        <w:pStyle w:val="5"/>
        <w:widowControl/>
        <w:spacing w:beforeAutospacing="0" w:after="150" w:afterAutospacing="0" w:line="580" w:lineRule="atLeast"/>
        <w:ind w:firstLine="0" w:firstLineChars="0"/>
        <w:rPr>
          <w:rFonts w:hint="eastAsia" w:ascii="微软雅黑" w:hAnsi="微软雅黑" w:eastAsia="仿宋_GB2312" w:cs="微软雅黑"/>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单位公章</w:t>
      </w:r>
    </w:p>
    <w:p>
      <w:pPr>
        <w:pStyle w:val="5"/>
        <w:widowControl/>
        <w:spacing w:beforeAutospacing="0" w:after="150" w:afterAutospacing="0" w:line="580" w:lineRule="atLeast"/>
        <w:ind w:firstLine="0" w:firstLineChars="0"/>
        <w:rPr>
          <w:color w:val="auto"/>
        </w:rPr>
      </w:pPr>
      <w:r>
        <w:rPr>
          <w:rFonts w:hint="eastAsia" w:ascii="微软雅黑" w:hAnsi="微软雅黑" w:eastAsia="微软雅黑" w:cs="微软雅黑"/>
          <w:color w:val="auto"/>
          <w:lang w:val="en-US" w:eastAsia="zh-CN"/>
        </w:rPr>
        <w:t xml:space="preserve">                                </w:t>
      </w:r>
      <w:r>
        <w:rPr>
          <w:rFonts w:ascii="仿宋_GB2312" w:hAnsi="仿宋_GB2312" w:eastAsia="仿宋_GB2312" w:cs="仿宋_GB2312"/>
          <w:color w:val="auto"/>
          <w:sz w:val="32"/>
          <w:szCs w:val="32"/>
        </w:rPr>
        <w:t>法定代表人（签字）：</w:t>
      </w:r>
    </w:p>
    <w:p>
      <w:pPr>
        <w:pStyle w:val="8"/>
        <w:keepNext w:val="0"/>
        <w:keepLines w:val="0"/>
        <w:widowControl w:val="0"/>
        <w:numPr>
          <w:ilvl w:val="0"/>
          <w:numId w:val="0"/>
        </w:numPr>
        <w:shd w:val="clear" w:color="auto" w:fill="auto"/>
        <w:bidi w:val="0"/>
        <w:spacing w:before="0" w:beforeLines="0" w:after="0" w:line="540" w:lineRule="exact"/>
        <w:ind w:right="0" w:rightChars="0"/>
        <w:jc w:val="both"/>
        <w:rPr>
          <w:rFonts w:hint="default" w:ascii="仿宋_GB2312" w:hAnsi="微软雅黑" w:eastAsia="仿宋_GB2312" w:cs="仿宋_GB2312"/>
          <w:color w:val="auto"/>
          <w:spacing w:val="0"/>
          <w:w w:val="100"/>
          <w:kern w:val="0"/>
          <w:position w:val="0"/>
          <w:sz w:val="32"/>
          <w:szCs w:val="32"/>
          <w:u w:val="none"/>
          <w:shd w:val="clear" w:color="auto" w:fill="auto"/>
          <w:lang w:val="en-US" w:eastAsia="zh-CN" w:bidi="ar"/>
        </w:rPr>
      </w:pPr>
      <w:r>
        <w:rPr>
          <w:rFonts w:hint="eastAsia" w:ascii="微软雅黑" w:hAnsi="微软雅黑" w:eastAsia="微软雅黑" w:cs="微软雅黑"/>
          <w:color w:val="auto"/>
        </w:rPr>
        <w:t>　　　</w:t>
      </w:r>
      <w:r>
        <w:rPr>
          <w:rFonts w:hint="eastAsia" w:ascii="微软雅黑" w:hAnsi="微软雅黑" w:eastAsia="微软雅黑" w:cs="微软雅黑"/>
          <w:color w:val="auto"/>
          <w:lang w:eastAsia="zh-CN"/>
        </w:rPr>
        <w:t>　　　　　　　　　　　　　　</w:t>
      </w:r>
      <w:r>
        <w:rPr>
          <w:rFonts w:hint="eastAsia" w:ascii="仿宋_GB2312" w:hAnsi="仿宋_GB2312" w:eastAsia="仿宋_GB2312" w:cs="仿宋_GB2312"/>
          <w:color w:val="auto"/>
          <w:spacing w:val="0"/>
          <w:w w:val="100"/>
          <w:kern w:val="0"/>
          <w:position w:val="0"/>
          <w:sz w:val="32"/>
          <w:szCs w:val="32"/>
          <w:u w:val="none"/>
          <w:shd w:val="clear" w:color="auto" w:fill="auto"/>
          <w:lang w:val="en-US" w:eastAsia="zh-CN" w:bidi="ar"/>
        </w:rPr>
        <w:t>年　　月　　日</w:t>
      </w:r>
    </w:p>
    <w:p>
      <w:pPr>
        <w:rPr>
          <w:rFonts w:hint="default"/>
          <w:color w:val="auto"/>
          <w:lang w:val="en-US" w:eastAsia="zh-CN"/>
        </w:rPr>
      </w:pPr>
    </w:p>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1217930</wp:posOffset>
              </wp:positionH>
              <wp:positionV relativeFrom="page">
                <wp:posOffset>9690100</wp:posOffset>
              </wp:positionV>
              <wp:extent cx="502920" cy="141605"/>
              <wp:effectExtent l="0" t="0" r="0" b="0"/>
              <wp:wrapNone/>
              <wp:docPr id="11" name="Shape 3"/>
              <wp:cNvGraphicFramePr/>
              <a:graphic xmlns:a="http://schemas.openxmlformats.org/drawingml/2006/main">
                <a:graphicData uri="http://schemas.microsoft.com/office/word/2010/wordprocessingShape">
                  <wps:wsp>
                    <wps:cNvSpPr txBox="1"/>
                    <wps:spPr>
                      <a:xfrm>
                        <a:off x="0" y="0"/>
                        <a:ext cx="502920" cy="14160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2"/>
                              <w:szCs w:val="32"/>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2"/>
                              <w:szCs w:val="32"/>
                            </w:rPr>
                            <w:fldChar w:fldCharType="end"/>
                          </w:r>
                          <w:r>
                            <w:rPr>
                              <w:rFonts w:ascii="宋体" w:hAnsi="宋体" w:eastAsia="宋体" w:cs="宋体"/>
                              <w:color w:val="000000"/>
                              <w:spacing w:val="0"/>
                              <w:w w:val="100"/>
                              <w:position w:val="0"/>
                              <w:sz w:val="32"/>
                              <w:szCs w:val="32"/>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95.9pt;margin-top:763pt;height:11.15pt;width:39.6pt;mso-position-horizontal-relative:page;mso-position-vertical-relative:page;mso-wrap-style:none;z-index:-251657216;mso-width-relative:page;mso-height-relative:page;" filled="f" stroked="f" coordsize="21600,21600" o:gfxdata="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eWbDXAAAA&#10;DQEAAA8AAAAAAAAAAQAgAAAAIgAAAGRycy9kb3ducmV2LnhtbFBLAQIUABQAAAAIAIdO4kAjw4w8&#10;rAEAAHADAAAOAAAAAAAAAAEAIAAAACYBAABkcnMvZTJvRG9jLnhtbFBLBQYAAAAABgAGAFkBAABE&#10;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2"/>
                        <w:szCs w:val="32"/>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rPr>
                      <w:t>#</w:t>
                    </w:r>
                    <w:r>
                      <w:rPr>
                        <w:rFonts w:ascii="宋体" w:hAnsi="宋体" w:eastAsia="宋体" w:cs="宋体"/>
                        <w:color w:val="000000"/>
                        <w:spacing w:val="0"/>
                        <w:w w:val="100"/>
                        <w:position w:val="0"/>
                        <w:sz w:val="32"/>
                        <w:szCs w:val="32"/>
                      </w:rPr>
                      <w:fldChar w:fldCharType="end"/>
                    </w:r>
                    <w:r>
                      <w:rPr>
                        <w:rFonts w:ascii="宋体" w:hAnsi="宋体" w:eastAsia="宋体" w:cs="宋体"/>
                        <w:color w:val="000000"/>
                        <w:spacing w:val="0"/>
                        <w:w w:val="100"/>
                        <w:position w:val="0"/>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73B81"/>
    <w:rsid w:val="283448AF"/>
    <w:rsid w:val="583E0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Heading #2|1"/>
    <w:basedOn w:val="1"/>
    <w:qFormat/>
    <w:uiPriority w:val="0"/>
    <w:pPr>
      <w:widowControl w:val="0"/>
      <w:shd w:val="clear" w:color="auto" w:fill="auto"/>
      <w:spacing w:after="460" w:line="53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2021-06-22T06:56:00Z</dcterms:created>
  <dc:creator>Administrator</dc:creator>
  <cp:lastModifiedBy>Administrator</cp:lastModifiedBy>
  <dcterms:modified xsi:type="dcterms:W3CDTF">2022-03-04T07:56:57Z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FBB023CDC9E64462BB5CBA8913883661</vt:lpwstr>
  </property>
</Properties>
</file>